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3444" w14:textId="77777777" w:rsidR="009F08CD" w:rsidRDefault="009F08CD">
      <w:pPr>
        <w:spacing w:line="360" w:lineRule="auto"/>
        <w:ind w:left="402"/>
        <w:jc w:val="center"/>
        <w:rPr>
          <w:b/>
          <w:sz w:val="32"/>
          <w:szCs w:val="32"/>
        </w:rPr>
      </w:pPr>
      <w:bookmarkStart w:id="0" w:name="_Hlk69826997"/>
    </w:p>
    <w:p w14:paraId="28578C28" w14:textId="1D0D0D4E" w:rsidR="00E27C4E" w:rsidRDefault="0049753A">
      <w:pPr>
        <w:spacing w:line="360" w:lineRule="auto"/>
        <w:ind w:left="402"/>
        <w:jc w:val="center"/>
        <w:rPr>
          <w:b/>
          <w:sz w:val="32"/>
          <w:szCs w:val="32"/>
        </w:rPr>
      </w:pPr>
      <w:r>
        <w:rPr>
          <w:rFonts w:hint="eastAsia"/>
          <w:b/>
          <w:sz w:val="32"/>
          <w:szCs w:val="32"/>
        </w:rPr>
        <w:t>优质药材“三无一全”品牌品种核定办法</w:t>
      </w:r>
      <w:bookmarkEnd w:id="0"/>
    </w:p>
    <w:p w14:paraId="41A8B0C6" w14:textId="3A15E0C2" w:rsidR="00E27C4E" w:rsidRDefault="00E27C4E">
      <w:pPr>
        <w:spacing w:line="360" w:lineRule="auto"/>
        <w:ind w:left="402"/>
        <w:jc w:val="center"/>
        <w:rPr>
          <w:b/>
          <w:color w:val="0000FF"/>
        </w:rPr>
      </w:pPr>
    </w:p>
    <w:p w14:paraId="745C33F6" w14:textId="77777777" w:rsidR="009F08CD" w:rsidRDefault="009F08CD">
      <w:pPr>
        <w:spacing w:line="360" w:lineRule="auto"/>
        <w:ind w:left="402"/>
        <w:jc w:val="center"/>
        <w:rPr>
          <w:rFonts w:hint="eastAsia"/>
          <w:b/>
          <w:color w:val="0000FF"/>
        </w:rPr>
      </w:pPr>
    </w:p>
    <w:p w14:paraId="7F927863" w14:textId="77777777" w:rsidR="00E27C4E" w:rsidRDefault="0049753A">
      <w:pPr>
        <w:numPr>
          <w:ilvl w:val="0"/>
          <w:numId w:val="1"/>
        </w:numPr>
        <w:spacing w:line="360" w:lineRule="auto"/>
        <w:ind w:left="402"/>
        <w:jc w:val="center"/>
        <w:rPr>
          <w:b/>
          <w:sz w:val="24"/>
          <w:szCs w:val="24"/>
        </w:rPr>
      </w:pPr>
      <w:r>
        <w:rPr>
          <w:rFonts w:hint="eastAsia"/>
          <w:b/>
          <w:sz w:val="24"/>
          <w:szCs w:val="24"/>
        </w:rPr>
        <w:t xml:space="preserve"> </w:t>
      </w:r>
      <w:r>
        <w:rPr>
          <w:rFonts w:hint="eastAsia"/>
          <w:b/>
          <w:sz w:val="24"/>
          <w:szCs w:val="24"/>
        </w:rPr>
        <w:t>总</w:t>
      </w:r>
      <w:r>
        <w:rPr>
          <w:rFonts w:hint="eastAsia"/>
          <w:b/>
          <w:sz w:val="24"/>
          <w:szCs w:val="24"/>
        </w:rPr>
        <w:t xml:space="preserve">  </w:t>
      </w:r>
      <w:r>
        <w:rPr>
          <w:rFonts w:hint="eastAsia"/>
          <w:b/>
          <w:sz w:val="24"/>
          <w:szCs w:val="24"/>
        </w:rPr>
        <w:t>则</w:t>
      </w:r>
    </w:p>
    <w:p w14:paraId="312173B7" w14:textId="53DA1C0A" w:rsidR="00E27C4E" w:rsidRDefault="0049753A">
      <w:pPr>
        <w:pStyle w:val="a9"/>
        <w:adjustRightInd w:val="0"/>
        <w:snapToGrid w:val="0"/>
        <w:spacing w:beforeAutospacing="0" w:afterAutospacing="0" w:line="520" w:lineRule="exact"/>
      </w:pPr>
      <w:r>
        <w:rPr>
          <w:rFonts w:hint="eastAsia"/>
          <w:b/>
        </w:rPr>
        <w:t>第一条</w:t>
      </w:r>
      <w:r>
        <w:rPr>
          <w:rFonts w:hint="eastAsia"/>
        </w:rPr>
        <w:t xml:space="preserve">  </w:t>
      </w:r>
      <w:r>
        <w:t>为</w:t>
      </w:r>
      <w:r>
        <w:rPr>
          <w:rFonts w:eastAsia="宋体" w:hint="eastAsia"/>
        </w:rPr>
        <w:t>鼓励推进</w:t>
      </w:r>
      <w:r>
        <w:rPr>
          <w:rFonts w:hint="eastAsia"/>
        </w:rPr>
        <w:t>优质药材“三无一全”</w:t>
      </w:r>
      <w:r>
        <w:rPr>
          <w:rFonts w:ascii="宋体" w:eastAsia="宋体" w:hAnsi="宋体" w:cs="宋体" w:hint="eastAsia"/>
        </w:rPr>
        <w:t>的生产及全过程的规范化，确定</w:t>
      </w:r>
      <w:r>
        <w:rPr>
          <w:rFonts w:ascii="宋体" w:eastAsia="宋体" w:hAnsi="宋体" w:cs="宋体" w:hint="eastAsia"/>
        </w:rPr>
        <w:t>中药材</w:t>
      </w:r>
      <w:r>
        <w:rPr>
          <w:rFonts w:ascii="宋体" w:eastAsia="宋体" w:hAnsi="宋体" w:cs="宋体" w:hint="eastAsia"/>
        </w:rPr>
        <w:t>品种</w:t>
      </w:r>
      <w:r>
        <w:rPr>
          <w:rFonts w:hint="eastAsia"/>
        </w:rPr>
        <w:t>符合无硫磺加工、无黄曲霉毒素超标、无公害（包括无农残超标、无重金属超标、无使用生长调节剂促进采收器官的生长）及全过程可追溯</w:t>
      </w:r>
      <w:r>
        <w:rPr>
          <w:rFonts w:hint="eastAsia"/>
        </w:rPr>
        <w:t>的标准</w:t>
      </w:r>
      <w:r>
        <w:rPr>
          <w:rFonts w:hint="eastAsia"/>
        </w:rPr>
        <w:t>，依据中药材基地共建共享联盟（简称：联盟）宗旨，促进优质药材“三无一全”</w:t>
      </w:r>
      <w:r>
        <w:rPr>
          <w:rFonts w:hint="eastAsia"/>
        </w:rPr>
        <w:t>（简称三无一全）</w:t>
      </w:r>
      <w:r>
        <w:rPr>
          <w:rFonts w:hint="eastAsia"/>
        </w:rPr>
        <w:t>品牌品种</w:t>
      </w:r>
      <w:r>
        <w:rPr>
          <w:rFonts w:hint="eastAsia"/>
        </w:rPr>
        <w:t>建设，引领中药产业从种</w:t>
      </w:r>
      <w:proofErr w:type="gramStart"/>
      <w:r>
        <w:rPr>
          <w:rFonts w:hint="eastAsia"/>
        </w:rPr>
        <w:t>药时代</w:t>
      </w:r>
      <w:proofErr w:type="gramEnd"/>
      <w:r>
        <w:rPr>
          <w:rFonts w:hint="eastAsia"/>
        </w:rPr>
        <w:t>向用药时代转变、从重规模求数量的规模化发展向重质量求效益的高质量发展方向转变，</w:t>
      </w:r>
      <w:r>
        <w:rPr>
          <w:rFonts w:ascii="宋体" w:eastAsia="宋体" w:hAnsi="宋体" w:cs="宋体" w:hint="eastAsia"/>
        </w:rPr>
        <w:t>特</w:t>
      </w:r>
      <w:r>
        <w:rPr>
          <w:rFonts w:hint="eastAsia"/>
        </w:rPr>
        <w:t>制定本办法。</w:t>
      </w:r>
    </w:p>
    <w:p w14:paraId="6B60EFCC" w14:textId="71515C69" w:rsidR="00E27C4E" w:rsidRDefault="0049753A">
      <w:pPr>
        <w:pStyle w:val="a9"/>
        <w:adjustRightInd w:val="0"/>
        <w:snapToGrid w:val="0"/>
        <w:spacing w:beforeAutospacing="0" w:afterAutospacing="0" w:line="520" w:lineRule="exact"/>
      </w:pPr>
      <w:r>
        <w:rPr>
          <w:rFonts w:hint="eastAsia"/>
          <w:b/>
        </w:rPr>
        <w:t>第二条</w:t>
      </w:r>
      <w:r>
        <w:rPr>
          <w:rFonts w:hint="eastAsia"/>
        </w:rPr>
        <w:t xml:space="preserve">  </w:t>
      </w:r>
      <w:r>
        <w:rPr>
          <w:rFonts w:hint="eastAsia"/>
        </w:rPr>
        <w:t>本办法</w:t>
      </w:r>
      <w:r>
        <w:t>适用于</w:t>
      </w:r>
      <w:r>
        <w:rPr>
          <w:rFonts w:hint="eastAsia"/>
        </w:rPr>
        <w:t>中药企业培</w:t>
      </w:r>
      <w:r>
        <w:rPr>
          <w:rFonts w:eastAsia="宋体" w:hint="eastAsia"/>
        </w:rPr>
        <w:t>育</w:t>
      </w:r>
      <w:r>
        <w:rPr>
          <w:rFonts w:hint="eastAsia"/>
        </w:rPr>
        <w:t>“</w:t>
      </w:r>
      <w:r>
        <w:rPr>
          <w:rFonts w:eastAsia="宋体" w:hint="eastAsia"/>
        </w:rPr>
        <w:t>三无一全”</w:t>
      </w:r>
      <w:r>
        <w:rPr>
          <w:rFonts w:eastAsia="宋体" w:hint="eastAsia"/>
        </w:rPr>
        <w:t>品牌</w:t>
      </w:r>
      <w:r>
        <w:rPr>
          <w:rFonts w:hint="eastAsia"/>
        </w:rPr>
        <w:t>，适用于联盟对</w:t>
      </w:r>
      <w:r>
        <w:rPr>
          <w:rFonts w:hint="eastAsia"/>
        </w:rPr>
        <w:t>“三无一全”品牌品种建设指导、申报核定</w:t>
      </w:r>
      <w:r>
        <w:t>、</w:t>
      </w:r>
      <w:r>
        <w:rPr>
          <w:rFonts w:hint="eastAsia"/>
        </w:rPr>
        <w:t>年度核查等</w:t>
      </w:r>
      <w:r>
        <w:t>管理</w:t>
      </w:r>
      <w:r>
        <w:rPr>
          <w:rFonts w:hint="eastAsia"/>
        </w:rPr>
        <w:t>。</w:t>
      </w:r>
    </w:p>
    <w:p w14:paraId="00DC476B" w14:textId="61910615" w:rsidR="00E27C4E" w:rsidRDefault="0049753A">
      <w:pPr>
        <w:pStyle w:val="a9"/>
        <w:adjustRightInd w:val="0"/>
        <w:snapToGrid w:val="0"/>
        <w:spacing w:beforeAutospacing="0" w:afterAutospacing="0" w:line="520" w:lineRule="exact"/>
      </w:pPr>
      <w:r>
        <w:rPr>
          <w:rFonts w:hint="eastAsia"/>
          <w:b/>
        </w:rPr>
        <w:t>第三条</w:t>
      </w:r>
      <w:r>
        <w:rPr>
          <w:rFonts w:hint="eastAsia"/>
        </w:rPr>
        <w:t xml:space="preserve">  </w:t>
      </w:r>
      <w:r>
        <w:rPr>
          <w:rFonts w:hint="eastAsia"/>
        </w:rPr>
        <w:t>联盟设立</w:t>
      </w:r>
      <w:r>
        <w:rPr>
          <w:rFonts w:hint="eastAsia"/>
        </w:rPr>
        <w:t>“三无一全”</w:t>
      </w:r>
      <w:r>
        <w:rPr>
          <w:rFonts w:hint="eastAsia"/>
        </w:rPr>
        <w:t>核定工作组（简称：工作组），负责相关核定</w:t>
      </w:r>
      <w:r>
        <w:t>、</w:t>
      </w:r>
      <w:r>
        <w:rPr>
          <w:rFonts w:hint="eastAsia"/>
        </w:rPr>
        <w:t>年度核查组织管理等工作。</w:t>
      </w:r>
    </w:p>
    <w:p w14:paraId="1DAC9356" w14:textId="4CADDDE4" w:rsidR="00E27C4E" w:rsidRDefault="0049753A">
      <w:pPr>
        <w:pStyle w:val="a9"/>
        <w:adjustRightInd w:val="0"/>
        <w:snapToGrid w:val="0"/>
        <w:spacing w:beforeAutospacing="0" w:afterAutospacing="0" w:line="520" w:lineRule="exact"/>
      </w:pPr>
      <w:r>
        <w:rPr>
          <w:rFonts w:hint="eastAsia"/>
          <w:b/>
        </w:rPr>
        <w:t>第四条</w:t>
      </w:r>
      <w:r>
        <w:rPr>
          <w:rFonts w:hint="eastAsia"/>
        </w:rPr>
        <w:t xml:space="preserve">  </w:t>
      </w:r>
      <w:r>
        <w:rPr>
          <w:rFonts w:hint="eastAsia"/>
        </w:rPr>
        <w:t>联盟设立</w:t>
      </w:r>
      <w:r>
        <w:rPr>
          <w:rFonts w:hint="eastAsia"/>
        </w:rPr>
        <w:t>“三无一全”</w:t>
      </w:r>
      <w:r>
        <w:rPr>
          <w:rFonts w:hint="eastAsia"/>
        </w:rPr>
        <w:t>核定专家委员会（简称：专家委员会），负责指导</w:t>
      </w:r>
      <w:r>
        <w:rPr>
          <w:rFonts w:hint="eastAsia"/>
        </w:rPr>
        <w:t>“三无一全”品牌品种建设、审查申</w:t>
      </w:r>
      <w:r>
        <w:rPr>
          <w:rFonts w:hint="eastAsia"/>
        </w:rPr>
        <w:t>报材料、核定相关品种</w:t>
      </w:r>
      <w:r>
        <w:t>、</w:t>
      </w:r>
      <w:r>
        <w:rPr>
          <w:rFonts w:hint="eastAsia"/>
        </w:rPr>
        <w:t>开展年度核查等技术性工作。</w:t>
      </w:r>
    </w:p>
    <w:p w14:paraId="009D1E51" w14:textId="7656C714" w:rsidR="00E27C4E" w:rsidRDefault="0049753A">
      <w:pPr>
        <w:pStyle w:val="a9"/>
        <w:adjustRightInd w:val="0"/>
        <w:snapToGrid w:val="0"/>
        <w:spacing w:beforeAutospacing="0" w:afterAutospacing="0" w:line="520" w:lineRule="exact"/>
      </w:pPr>
      <w:r>
        <w:rPr>
          <w:rFonts w:hint="eastAsia"/>
          <w:b/>
        </w:rPr>
        <w:t>第五条</w:t>
      </w:r>
      <w:r>
        <w:rPr>
          <w:rFonts w:hint="eastAsia"/>
        </w:rPr>
        <w:t xml:space="preserve">  </w:t>
      </w:r>
      <w:r>
        <w:rPr>
          <w:rFonts w:hint="eastAsia"/>
        </w:rPr>
        <w:t>申报</w:t>
      </w:r>
      <w:r>
        <w:rPr>
          <w:rFonts w:hint="eastAsia"/>
        </w:rPr>
        <w:t>“三无一全”品牌建设项目，联盟盟员</w:t>
      </w:r>
      <w:proofErr w:type="gramStart"/>
      <w:r>
        <w:rPr>
          <w:rFonts w:hint="eastAsia"/>
        </w:rPr>
        <w:t>凭相关</w:t>
      </w:r>
      <w:proofErr w:type="gramEnd"/>
      <w:r>
        <w:rPr>
          <w:rFonts w:ascii="Times New Roman" w:eastAsia="宋体" w:hAnsi="Times New Roman" w:hint="eastAsia"/>
        </w:rPr>
        <w:t>专业委员会</w:t>
      </w:r>
      <w:r>
        <w:rPr>
          <w:rFonts w:hint="eastAsia"/>
        </w:rPr>
        <w:t>的联盟专家</w:t>
      </w:r>
      <w:r>
        <w:rPr>
          <w:rFonts w:ascii="Times New Roman" w:eastAsia="宋体" w:hAnsi="Times New Roman" w:hint="eastAsia"/>
        </w:rPr>
        <w:t>《推荐书》可直接</w:t>
      </w:r>
      <w:r>
        <w:rPr>
          <w:rFonts w:hint="eastAsia"/>
        </w:rPr>
        <w:t>向工作组申报，非盟员单位</w:t>
      </w:r>
      <w:r>
        <w:rPr>
          <w:rFonts w:hint="eastAsia"/>
        </w:rPr>
        <w:t>需得到所在地区</w:t>
      </w:r>
      <w:r>
        <w:rPr>
          <w:rFonts w:hint="eastAsia"/>
        </w:rPr>
        <w:t>联盟联络站推荐</w:t>
      </w:r>
      <w:r>
        <w:rPr>
          <w:rFonts w:hint="eastAsia"/>
        </w:rPr>
        <w:t>及联盟专家《推荐书》</w:t>
      </w:r>
      <w:r>
        <w:rPr>
          <w:rFonts w:hint="eastAsia"/>
        </w:rPr>
        <w:t>方可申报。</w:t>
      </w:r>
    </w:p>
    <w:p w14:paraId="26A0C0C3" w14:textId="77777777" w:rsidR="00E27C4E" w:rsidRDefault="00E27C4E">
      <w:pPr>
        <w:pStyle w:val="a9"/>
        <w:adjustRightInd w:val="0"/>
        <w:snapToGrid w:val="0"/>
        <w:spacing w:beforeAutospacing="0" w:afterAutospacing="0" w:line="520" w:lineRule="exact"/>
      </w:pPr>
    </w:p>
    <w:p w14:paraId="000FC4EF"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申报与承诺</w:t>
      </w:r>
    </w:p>
    <w:p w14:paraId="7802C21D" w14:textId="7A20449F" w:rsidR="00E27C4E" w:rsidRDefault="0049753A">
      <w:pPr>
        <w:spacing w:line="520" w:lineRule="exact"/>
        <w:rPr>
          <w:rFonts w:cs="Times New Roman"/>
          <w:sz w:val="24"/>
          <w:szCs w:val="24"/>
        </w:rPr>
      </w:pPr>
      <w:r>
        <w:rPr>
          <w:rFonts w:cs="Times New Roman" w:hint="eastAsia"/>
          <w:b/>
          <w:sz w:val="24"/>
          <w:szCs w:val="24"/>
        </w:rPr>
        <w:t>第六条</w:t>
      </w:r>
      <w:r>
        <w:rPr>
          <w:rFonts w:cs="Times New Roman" w:hint="eastAsia"/>
          <w:sz w:val="24"/>
          <w:szCs w:val="24"/>
        </w:rPr>
        <w:t xml:space="preserve">  </w:t>
      </w:r>
      <w:r>
        <w:rPr>
          <w:rFonts w:cs="Times New Roman" w:hint="eastAsia"/>
          <w:sz w:val="24"/>
          <w:szCs w:val="24"/>
        </w:rPr>
        <w:t>申报主体应为独立合法</w:t>
      </w:r>
      <w:r>
        <w:rPr>
          <w:rFonts w:ascii="宋体" w:eastAsia="宋体" w:hAnsi="宋体" w:cs="宋体" w:hint="eastAsia"/>
          <w:sz w:val="24"/>
          <w:szCs w:val="24"/>
        </w:rPr>
        <w:t>的</w:t>
      </w:r>
      <w:r>
        <w:rPr>
          <w:rFonts w:cs="Times New Roman" w:hint="eastAsia"/>
          <w:sz w:val="24"/>
          <w:szCs w:val="24"/>
        </w:rPr>
        <w:t>经济组织，须有人工种植（养殖）基地或野生抚育基地，符合国家市场准入标准、可向社会承诺符合</w:t>
      </w:r>
      <w:r>
        <w:rPr>
          <w:rFonts w:cs="Times New Roman" w:hint="eastAsia"/>
          <w:sz w:val="24"/>
          <w:szCs w:val="24"/>
        </w:rPr>
        <w:t>“三无一全”标准</w:t>
      </w:r>
      <w:r>
        <w:rPr>
          <w:rFonts w:eastAsia="宋体" w:cs="Times New Roman" w:hint="eastAsia"/>
          <w:sz w:val="24"/>
          <w:szCs w:val="24"/>
        </w:rPr>
        <w:t>。</w:t>
      </w:r>
    </w:p>
    <w:p w14:paraId="1CDDC2B5" w14:textId="77777777" w:rsidR="00E27C4E" w:rsidRDefault="0049753A">
      <w:pPr>
        <w:spacing w:line="520" w:lineRule="exact"/>
        <w:rPr>
          <w:rFonts w:cs="Times New Roman"/>
          <w:sz w:val="24"/>
          <w:szCs w:val="24"/>
        </w:rPr>
      </w:pPr>
      <w:r>
        <w:rPr>
          <w:rFonts w:cs="Times New Roman" w:hint="eastAsia"/>
          <w:b/>
          <w:sz w:val="24"/>
          <w:szCs w:val="24"/>
        </w:rPr>
        <w:t>第七条</w:t>
      </w:r>
      <w:r>
        <w:rPr>
          <w:rFonts w:cs="Times New Roman" w:hint="eastAsia"/>
          <w:b/>
          <w:sz w:val="24"/>
          <w:szCs w:val="24"/>
        </w:rPr>
        <w:t xml:space="preserve"> </w:t>
      </w:r>
      <w:r>
        <w:rPr>
          <w:rFonts w:cs="Times New Roman" w:hint="eastAsia"/>
          <w:sz w:val="24"/>
          <w:szCs w:val="24"/>
        </w:rPr>
        <w:t xml:space="preserve"> </w:t>
      </w:r>
      <w:r>
        <w:rPr>
          <w:rFonts w:cs="Times New Roman" w:hint="eastAsia"/>
          <w:sz w:val="24"/>
          <w:szCs w:val="24"/>
        </w:rPr>
        <w:t>申报主体根据申报资料中要求填写申报材料并提供相关附件。</w:t>
      </w:r>
    </w:p>
    <w:p w14:paraId="028357B9" w14:textId="5E403991" w:rsidR="00E27C4E" w:rsidRDefault="0049753A">
      <w:pPr>
        <w:spacing w:line="520" w:lineRule="exact"/>
        <w:rPr>
          <w:rFonts w:cs="Times New Roman"/>
          <w:sz w:val="24"/>
          <w:szCs w:val="24"/>
        </w:rPr>
      </w:pPr>
      <w:r>
        <w:rPr>
          <w:rFonts w:cs="Times New Roman" w:hint="eastAsia"/>
          <w:b/>
          <w:sz w:val="24"/>
          <w:szCs w:val="24"/>
        </w:rPr>
        <w:t>第八条</w:t>
      </w:r>
      <w:r>
        <w:rPr>
          <w:rFonts w:cs="Times New Roman" w:hint="eastAsia"/>
          <w:sz w:val="24"/>
          <w:szCs w:val="24"/>
        </w:rPr>
        <w:t xml:space="preserve">  </w:t>
      </w:r>
      <w:r>
        <w:rPr>
          <w:rFonts w:cs="Times New Roman" w:hint="eastAsia"/>
          <w:sz w:val="24"/>
          <w:szCs w:val="24"/>
        </w:rPr>
        <w:t>申报主体应提交面向社会的承诺书，承诺所申报的品种符合</w:t>
      </w:r>
      <w:r>
        <w:rPr>
          <w:rFonts w:hint="eastAsia"/>
          <w:sz w:val="24"/>
          <w:szCs w:val="24"/>
        </w:rPr>
        <w:t>“</w:t>
      </w:r>
      <w:r>
        <w:rPr>
          <w:rFonts w:cs="Times New Roman" w:hint="eastAsia"/>
          <w:sz w:val="24"/>
          <w:szCs w:val="24"/>
        </w:rPr>
        <w:t>三无一全”标准、提交的材料真实、获得</w:t>
      </w:r>
      <w:r>
        <w:rPr>
          <w:rFonts w:hint="eastAsia"/>
          <w:sz w:val="24"/>
          <w:szCs w:val="24"/>
        </w:rPr>
        <w:t>“</w:t>
      </w:r>
      <w:r>
        <w:rPr>
          <w:rFonts w:cs="Times New Roman" w:hint="eastAsia"/>
          <w:sz w:val="24"/>
          <w:szCs w:val="24"/>
        </w:rPr>
        <w:t>三无一全”荣誉后服从第五章规定。</w:t>
      </w:r>
    </w:p>
    <w:p w14:paraId="03C91001" w14:textId="77777777" w:rsidR="00E27C4E" w:rsidRDefault="00E27C4E">
      <w:pPr>
        <w:spacing w:line="520" w:lineRule="exact"/>
        <w:rPr>
          <w:rFonts w:cs="Times New Roman"/>
          <w:sz w:val="24"/>
          <w:szCs w:val="24"/>
        </w:rPr>
      </w:pPr>
    </w:p>
    <w:p w14:paraId="5377A7E4"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受理与核定</w:t>
      </w:r>
    </w:p>
    <w:p w14:paraId="3070C922" w14:textId="0A387DFB" w:rsidR="00E27C4E" w:rsidRDefault="0049753A">
      <w:pPr>
        <w:spacing w:line="520" w:lineRule="exact"/>
        <w:rPr>
          <w:rFonts w:cs="Times New Roman"/>
          <w:sz w:val="24"/>
          <w:szCs w:val="24"/>
        </w:rPr>
      </w:pPr>
      <w:r>
        <w:rPr>
          <w:rFonts w:cs="Times New Roman" w:hint="eastAsia"/>
          <w:b/>
          <w:sz w:val="24"/>
          <w:szCs w:val="24"/>
        </w:rPr>
        <w:t>第九条</w:t>
      </w:r>
      <w:r>
        <w:rPr>
          <w:rFonts w:cs="Times New Roman" w:hint="eastAsia"/>
          <w:sz w:val="24"/>
          <w:szCs w:val="24"/>
        </w:rPr>
        <w:t xml:space="preserve"> </w:t>
      </w:r>
      <w:r>
        <w:rPr>
          <w:rFonts w:cs="Times New Roman"/>
          <w:sz w:val="24"/>
          <w:szCs w:val="24"/>
        </w:rPr>
        <w:t xml:space="preserve"> </w:t>
      </w:r>
      <w:r>
        <w:rPr>
          <w:rFonts w:ascii="Times New Roman" w:eastAsia="宋体" w:hAnsi="宋体" w:cs="宋体"/>
          <w:b/>
          <w:color w:val="000000" w:themeColor="text1"/>
          <w:sz w:val="24"/>
          <w:szCs w:val="24"/>
        </w:rPr>
        <w:t>资料受理与形式审核</w:t>
      </w:r>
      <w:r>
        <w:rPr>
          <w:rFonts w:ascii="Times New Roman" w:eastAsia="宋体" w:hAnsi="宋体" w:cs="宋体"/>
          <w:color w:val="000000" w:themeColor="text1"/>
        </w:rPr>
        <w:t xml:space="preserve"> </w:t>
      </w:r>
      <w:r>
        <w:rPr>
          <w:rFonts w:cs="Times New Roman" w:hint="eastAsia"/>
          <w:sz w:val="24"/>
          <w:szCs w:val="24"/>
        </w:rPr>
        <w:t>“工作组”负责受理申报资料，并进行形式审查，资料不完整、不符合要求的，告知申报主体于规定时间内补充完善</w:t>
      </w:r>
      <w:r>
        <w:rPr>
          <w:rFonts w:cs="Times New Roman" w:hint="eastAsia"/>
          <w:color w:val="C00000"/>
          <w:sz w:val="24"/>
          <w:szCs w:val="24"/>
        </w:rPr>
        <w:t>，</w:t>
      </w:r>
      <w:r>
        <w:rPr>
          <w:rFonts w:cs="Times New Roman" w:hint="eastAsia"/>
          <w:sz w:val="24"/>
          <w:szCs w:val="24"/>
        </w:rPr>
        <w:t>未按要求</w:t>
      </w:r>
      <w:proofErr w:type="gramStart"/>
      <w:r>
        <w:rPr>
          <w:rFonts w:cs="Times New Roman" w:hint="eastAsia"/>
          <w:sz w:val="24"/>
          <w:szCs w:val="24"/>
        </w:rPr>
        <w:t>补充完善</w:t>
      </w:r>
      <w:proofErr w:type="gramEnd"/>
      <w:r>
        <w:rPr>
          <w:rFonts w:cs="Times New Roman" w:hint="eastAsia"/>
          <w:sz w:val="24"/>
          <w:szCs w:val="24"/>
        </w:rPr>
        <w:t>的</w:t>
      </w:r>
      <w:r>
        <w:rPr>
          <w:rFonts w:cs="Times New Roman" w:hint="eastAsia"/>
          <w:sz w:val="24"/>
          <w:szCs w:val="24"/>
        </w:rPr>
        <w:t>视为放弃申报。</w:t>
      </w:r>
    </w:p>
    <w:p w14:paraId="71E0FCCF" w14:textId="77777777" w:rsidR="00E27C4E" w:rsidRDefault="0049753A">
      <w:pPr>
        <w:spacing w:line="520" w:lineRule="exact"/>
        <w:rPr>
          <w:rFonts w:cs="Times New Roman"/>
          <w:sz w:val="24"/>
          <w:szCs w:val="24"/>
        </w:rPr>
      </w:pPr>
      <w:r>
        <w:rPr>
          <w:rFonts w:cs="Times New Roman" w:hint="eastAsia"/>
          <w:b/>
          <w:sz w:val="24"/>
          <w:szCs w:val="24"/>
        </w:rPr>
        <w:t>第十条</w:t>
      </w:r>
      <w:r>
        <w:rPr>
          <w:rFonts w:cs="Times New Roman" w:hint="eastAsia"/>
          <w:b/>
          <w:sz w:val="24"/>
          <w:szCs w:val="24"/>
        </w:rPr>
        <w:t xml:space="preserve"> </w:t>
      </w:r>
      <w:r>
        <w:rPr>
          <w:rFonts w:cs="Times New Roman" w:hint="eastAsia"/>
          <w:sz w:val="24"/>
          <w:szCs w:val="24"/>
        </w:rPr>
        <w:t xml:space="preserve"> </w:t>
      </w:r>
      <w:r>
        <w:rPr>
          <w:rFonts w:ascii="Times New Roman" w:eastAsia="宋体" w:hAnsi="宋体" w:cs="宋体"/>
          <w:b/>
          <w:color w:val="000000" w:themeColor="text1"/>
          <w:sz w:val="24"/>
          <w:szCs w:val="24"/>
        </w:rPr>
        <w:t>专家初审</w:t>
      </w:r>
      <w:r>
        <w:rPr>
          <w:rFonts w:ascii="Times New Roman" w:eastAsia="宋体" w:hAnsi="宋体" w:cs="宋体"/>
          <w:b/>
          <w:color w:val="000000" w:themeColor="text1"/>
          <w:sz w:val="24"/>
          <w:szCs w:val="24"/>
        </w:rPr>
        <w:t xml:space="preserve"> </w:t>
      </w:r>
      <w:r>
        <w:rPr>
          <w:rFonts w:cs="Times New Roman" w:hint="eastAsia"/>
          <w:sz w:val="24"/>
          <w:szCs w:val="24"/>
        </w:rPr>
        <w:t>形式审核合格的申报材料，由工作组</w:t>
      </w:r>
      <w:proofErr w:type="gramStart"/>
      <w:r>
        <w:rPr>
          <w:rFonts w:cs="Times New Roman" w:hint="eastAsia"/>
          <w:sz w:val="24"/>
          <w:szCs w:val="24"/>
        </w:rPr>
        <w:t>送专家</w:t>
      </w:r>
      <w:proofErr w:type="gramEnd"/>
      <w:r>
        <w:rPr>
          <w:rFonts w:cs="Times New Roman" w:hint="eastAsia"/>
          <w:sz w:val="24"/>
          <w:szCs w:val="24"/>
        </w:rPr>
        <w:t>委员会专家进行技术性初审，并提出初审意见，初审意见分为三类：“同意提交会评核定”、“补充资料或现场复审后再定”、“不提交会评核定”。</w:t>
      </w:r>
    </w:p>
    <w:p w14:paraId="5F4F7AC6" w14:textId="74885C30" w:rsidR="00E27C4E" w:rsidRDefault="0049753A">
      <w:pPr>
        <w:spacing w:line="520" w:lineRule="exact"/>
        <w:rPr>
          <w:rFonts w:cs="Times New Roman"/>
          <w:sz w:val="24"/>
          <w:szCs w:val="24"/>
        </w:rPr>
      </w:pPr>
      <w:r>
        <w:rPr>
          <w:rFonts w:cs="Times New Roman" w:hint="eastAsia"/>
          <w:b/>
          <w:sz w:val="24"/>
          <w:szCs w:val="24"/>
        </w:rPr>
        <w:t>第十一条</w:t>
      </w:r>
      <w:r>
        <w:rPr>
          <w:rFonts w:cs="Times New Roman" w:hint="eastAsia"/>
          <w:sz w:val="24"/>
          <w:szCs w:val="24"/>
        </w:rPr>
        <w:t xml:space="preserve"> </w:t>
      </w:r>
      <w:r>
        <w:rPr>
          <w:rFonts w:ascii="Times New Roman" w:eastAsia="宋体" w:hAnsi="宋体" w:cs="宋体"/>
          <w:color w:val="000000" w:themeColor="text1"/>
        </w:rPr>
        <w:t xml:space="preserve"> </w:t>
      </w:r>
      <w:r>
        <w:rPr>
          <w:rFonts w:ascii="Times New Roman" w:eastAsia="宋体" w:hAnsi="宋体" w:cs="宋体"/>
          <w:b/>
          <w:color w:val="000000" w:themeColor="text1"/>
          <w:sz w:val="24"/>
          <w:szCs w:val="24"/>
        </w:rPr>
        <w:t>会议</w:t>
      </w:r>
      <w:r>
        <w:rPr>
          <w:rFonts w:ascii="Times New Roman" w:eastAsia="宋体" w:hAnsi="宋体" w:cs="宋体" w:hint="eastAsia"/>
          <w:b/>
          <w:color w:val="000000" w:themeColor="text1"/>
          <w:sz w:val="24"/>
          <w:szCs w:val="24"/>
        </w:rPr>
        <w:t>核</w:t>
      </w:r>
      <w:r>
        <w:rPr>
          <w:rFonts w:ascii="Times New Roman" w:eastAsia="宋体" w:hAnsi="宋体" w:cs="宋体"/>
          <w:b/>
          <w:color w:val="000000" w:themeColor="text1"/>
          <w:sz w:val="24"/>
          <w:szCs w:val="24"/>
        </w:rPr>
        <w:t>定</w:t>
      </w:r>
      <w:r>
        <w:rPr>
          <w:rFonts w:ascii="Times New Roman" w:eastAsia="宋体" w:hAnsi="宋体" w:cs="宋体"/>
          <w:b/>
          <w:color w:val="000000" w:themeColor="text1"/>
          <w:sz w:val="24"/>
          <w:szCs w:val="24"/>
        </w:rPr>
        <w:t xml:space="preserve"> </w:t>
      </w:r>
      <w:r>
        <w:rPr>
          <w:rFonts w:cs="Times New Roman" w:hint="eastAsia"/>
          <w:sz w:val="24"/>
          <w:szCs w:val="24"/>
        </w:rPr>
        <w:t>“工作组”向联盟秘书处提交经专家初审合格的申报材料，由联盟秘书处组织专家委员会</w:t>
      </w:r>
      <w:r>
        <w:rPr>
          <w:rFonts w:cs="Times New Roman" w:hint="eastAsia"/>
          <w:sz w:val="24"/>
          <w:szCs w:val="24"/>
        </w:rPr>
        <w:t>7-</w:t>
      </w:r>
      <w:r>
        <w:rPr>
          <w:rFonts w:cs="Times New Roman"/>
          <w:sz w:val="24"/>
          <w:szCs w:val="24"/>
        </w:rPr>
        <w:t>13</w:t>
      </w:r>
      <w:r>
        <w:rPr>
          <w:rFonts w:cs="Times New Roman" w:hint="eastAsia"/>
          <w:sz w:val="24"/>
          <w:szCs w:val="24"/>
        </w:rPr>
        <w:t>名专家开展集中会评核定。会</w:t>
      </w:r>
      <w:proofErr w:type="gramStart"/>
      <w:r>
        <w:rPr>
          <w:rFonts w:cs="Times New Roman" w:hint="eastAsia"/>
          <w:sz w:val="24"/>
          <w:szCs w:val="24"/>
        </w:rPr>
        <w:t>评核定</w:t>
      </w:r>
      <w:proofErr w:type="gramEnd"/>
      <w:r>
        <w:rPr>
          <w:rFonts w:cs="Times New Roman" w:hint="eastAsia"/>
          <w:sz w:val="24"/>
          <w:szCs w:val="24"/>
        </w:rPr>
        <w:t>流程包括申报主体汇报、答疑、专家独立评分，根据总评分核定是否通过</w:t>
      </w:r>
      <w:r>
        <w:rPr>
          <w:rFonts w:hint="eastAsia"/>
          <w:sz w:val="24"/>
          <w:szCs w:val="24"/>
        </w:rPr>
        <w:t>“</w:t>
      </w:r>
      <w:r>
        <w:rPr>
          <w:rFonts w:cs="Times New Roman" w:hint="eastAsia"/>
          <w:sz w:val="24"/>
          <w:szCs w:val="24"/>
        </w:rPr>
        <w:t>三无一全”品牌品种核定。</w:t>
      </w:r>
    </w:p>
    <w:p w14:paraId="0725D53A" w14:textId="77777777" w:rsidR="00E27C4E" w:rsidRDefault="0049753A">
      <w:pPr>
        <w:spacing w:line="520" w:lineRule="exact"/>
        <w:ind w:firstLine="480"/>
        <w:rPr>
          <w:rFonts w:cs="Times New Roman"/>
          <w:sz w:val="24"/>
          <w:szCs w:val="24"/>
        </w:rPr>
      </w:pPr>
      <w:r>
        <w:rPr>
          <w:rFonts w:cs="Times New Roman" w:hint="eastAsia"/>
          <w:sz w:val="24"/>
          <w:szCs w:val="24"/>
        </w:rPr>
        <w:t>平均为≥</w:t>
      </w:r>
      <w:r>
        <w:rPr>
          <w:rFonts w:cs="Times New Roman" w:hint="eastAsia"/>
          <w:sz w:val="24"/>
          <w:szCs w:val="24"/>
        </w:rPr>
        <w:t>80</w:t>
      </w:r>
      <w:r>
        <w:rPr>
          <w:rFonts w:cs="Times New Roman" w:hint="eastAsia"/>
          <w:sz w:val="24"/>
          <w:szCs w:val="24"/>
        </w:rPr>
        <w:t>分，通过核定；</w:t>
      </w:r>
    </w:p>
    <w:p w14:paraId="5171B6A2" w14:textId="77777777" w:rsidR="00E27C4E" w:rsidRDefault="0049753A">
      <w:pPr>
        <w:spacing w:line="520" w:lineRule="exact"/>
        <w:ind w:firstLine="480"/>
        <w:rPr>
          <w:rFonts w:cs="Times New Roman"/>
          <w:sz w:val="24"/>
          <w:szCs w:val="24"/>
        </w:rPr>
      </w:pPr>
      <w:r>
        <w:rPr>
          <w:rFonts w:cs="Times New Roman" w:hint="eastAsia"/>
          <w:sz w:val="24"/>
          <w:szCs w:val="24"/>
        </w:rPr>
        <w:t>平均为≥</w:t>
      </w:r>
      <w:r>
        <w:rPr>
          <w:rFonts w:cs="Times New Roman"/>
          <w:sz w:val="24"/>
          <w:szCs w:val="24"/>
        </w:rPr>
        <w:t>60</w:t>
      </w:r>
      <w:r>
        <w:rPr>
          <w:rFonts w:cs="Times New Roman" w:hint="eastAsia"/>
          <w:sz w:val="24"/>
          <w:szCs w:val="24"/>
        </w:rPr>
        <w:t>分，＜</w:t>
      </w:r>
      <w:r>
        <w:rPr>
          <w:rFonts w:cs="Times New Roman"/>
          <w:sz w:val="24"/>
          <w:szCs w:val="24"/>
        </w:rPr>
        <w:t>80</w:t>
      </w:r>
      <w:r>
        <w:rPr>
          <w:rFonts w:cs="Times New Roman" w:hint="eastAsia"/>
          <w:sz w:val="24"/>
          <w:szCs w:val="24"/>
        </w:rPr>
        <w:t>分，建议补充资料或现场复审后再定；</w:t>
      </w:r>
    </w:p>
    <w:p w14:paraId="12785745" w14:textId="77777777" w:rsidR="00E27C4E" w:rsidRDefault="0049753A">
      <w:pPr>
        <w:spacing w:line="520" w:lineRule="exact"/>
        <w:ind w:firstLine="480"/>
        <w:rPr>
          <w:rFonts w:cs="Times New Roman"/>
          <w:sz w:val="24"/>
          <w:szCs w:val="24"/>
        </w:rPr>
      </w:pPr>
      <w:r>
        <w:rPr>
          <w:rFonts w:cs="Times New Roman" w:hint="eastAsia"/>
          <w:sz w:val="24"/>
          <w:szCs w:val="24"/>
        </w:rPr>
        <w:t>平均为＜</w:t>
      </w:r>
      <w:r>
        <w:rPr>
          <w:rFonts w:cs="Times New Roman"/>
          <w:sz w:val="24"/>
          <w:szCs w:val="24"/>
        </w:rPr>
        <w:t>6</w:t>
      </w:r>
      <w:r>
        <w:rPr>
          <w:rFonts w:cs="Times New Roman" w:hint="eastAsia"/>
          <w:sz w:val="24"/>
          <w:szCs w:val="24"/>
        </w:rPr>
        <w:t>0</w:t>
      </w:r>
      <w:r>
        <w:rPr>
          <w:rFonts w:cs="Times New Roman" w:hint="eastAsia"/>
          <w:sz w:val="24"/>
          <w:szCs w:val="24"/>
        </w:rPr>
        <w:t>分，不通过核定。</w:t>
      </w:r>
    </w:p>
    <w:p w14:paraId="2DB8B38E" w14:textId="67252C92" w:rsidR="00E27C4E" w:rsidRDefault="0049753A">
      <w:pPr>
        <w:spacing w:line="520" w:lineRule="exact"/>
        <w:rPr>
          <w:rFonts w:cs="Times New Roman"/>
          <w:sz w:val="24"/>
          <w:szCs w:val="24"/>
        </w:rPr>
      </w:pPr>
      <w:r>
        <w:rPr>
          <w:rFonts w:cs="Times New Roman" w:hint="eastAsia"/>
          <w:b/>
          <w:sz w:val="24"/>
          <w:szCs w:val="24"/>
        </w:rPr>
        <w:t>第十二条</w:t>
      </w:r>
      <w:r>
        <w:rPr>
          <w:rFonts w:cs="Times New Roman" w:hint="eastAsia"/>
          <w:sz w:val="24"/>
          <w:szCs w:val="24"/>
        </w:rPr>
        <w:t xml:space="preserve"> </w:t>
      </w:r>
      <w:r>
        <w:rPr>
          <w:rFonts w:cs="Times New Roman"/>
          <w:sz w:val="28"/>
          <w:szCs w:val="28"/>
        </w:rPr>
        <w:t xml:space="preserve"> </w:t>
      </w:r>
      <w:r>
        <w:rPr>
          <w:rFonts w:ascii="Times New Roman" w:eastAsia="宋体" w:hAnsi="宋体" w:cs="宋体"/>
          <w:b/>
          <w:color w:val="000000" w:themeColor="text1"/>
          <w:sz w:val="24"/>
          <w:szCs w:val="24"/>
        </w:rPr>
        <w:t>现场复审</w:t>
      </w:r>
      <w:r>
        <w:rPr>
          <w:rFonts w:ascii="Times New Roman" w:eastAsia="宋体" w:hAnsi="宋体" w:cs="宋体"/>
          <w:b/>
          <w:color w:val="000000" w:themeColor="text1"/>
          <w:sz w:val="24"/>
          <w:szCs w:val="24"/>
        </w:rPr>
        <w:t xml:space="preserve"> </w:t>
      </w:r>
      <w:r>
        <w:rPr>
          <w:rFonts w:cs="Times New Roman" w:hint="eastAsia"/>
          <w:sz w:val="24"/>
          <w:szCs w:val="24"/>
        </w:rPr>
        <w:t>专家初审意见为“补充资料或现场复审后再定”或“不提交会评核定”有异议的项目，申报主体可申请联盟组织</w:t>
      </w:r>
      <w:r>
        <w:rPr>
          <w:rFonts w:cs="Times New Roman" w:hint="eastAsia"/>
          <w:sz w:val="24"/>
          <w:szCs w:val="24"/>
        </w:rPr>
        <w:t>专家现场复审，经复审表明已完善或改进达到要求的，现场复审小组可同意其进入会评核定；会</w:t>
      </w:r>
      <w:proofErr w:type="gramStart"/>
      <w:r>
        <w:rPr>
          <w:rFonts w:cs="Times New Roman" w:hint="eastAsia"/>
          <w:sz w:val="24"/>
          <w:szCs w:val="24"/>
        </w:rPr>
        <w:t>评核定意见</w:t>
      </w:r>
      <w:proofErr w:type="gramEnd"/>
      <w:r>
        <w:rPr>
          <w:rFonts w:cs="Times New Roman" w:hint="eastAsia"/>
          <w:sz w:val="24"/>
          <w:szCs w:val="24"/>
        </w:rPr>
        <w:t>为“需补充资料或现场复审后再定”或“不通过核定”有异议的项目，申报主体可申请联盟组织</w:t>
      </w:r>
      <w:r>
        <w:rPr>
          <w:rFonts w:cs="Times New Roman" w:hint="eastAsia"/>
          <w:sz w:val="24"/>
          <w:szCs w:val="24"/>
        </w:rPr>
        <w:t>专家现场复审，由现场复审小组</w:t>
      </w:r>
      <w:proofErr w:type="gramStart"/>
      <w:r>
        <w:rPr>
          <w:rFonts w:cs="Times New Roman" w:hint="eastAsia"/>
          <w:sz w:val="24"/>
          <w:szCs w:val="24"/>
        </w:rPr>
        <w:t>作出</w:t>
      </w:r>
      <w:proofErr w:type="gramEnd"/>
      <w:r>
        <w:rPr>
          <w:rFonts w:cs="Times New Roman" w:hint="eastAsia"/>
          <w:sz w:val="24"/>
          <w:szCs w:val="24"/>
        </w:rPr>
        <w:t>最终决定是否同意其通过核定；联盟对申报主体存有疑义时，也可不经申报主体</w:t>
      </w:r>
      <w:r>
        <w:rPr>
          <w:rFonts w:cs="Times New Roman" w:hint="eastAsia"/>
          <w:sz w:val="24"/>
          <w:szCs w:val="24"/>
        </w:rPr>
        <w:t>申请而决定组织专家委员会专家进行现场复审。</w:t>
      </w:r>
    </w:p>
    <w:p w14:paraId="21CD1EFC" w14:textId="3D730D4B" w:rsidR="00E27C4E" w:rsidRDefault="0049753A">
      <w:pPr>
        <w:spacing w:line="520" w:lineRule="exact"/>
        <w:rPr>
          <w:rFonts w:cs="Times New Roman"/>
          <w:sz w:val="24"/>
          <w:szCs w:val="24"/>
        </w:rPr>
      </w:pPr>
      <w:r>
        <w:rPr>
          <w:rFonts w:cs="Times New Roman" w:hint="eastAsia"/>
          <w:b/>
          <w:sz w:val="24"/>
          <w:szCs w:val="24"/>
        </w:rPr>
        <w:t>第十三条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对于未通过</w:t>
      </w:r>
      <w:r>
        <w:rPr>
          <w:rFonts w:hint="eastAsia"/>
          <w:sz w:val="24"/>
          <w:szCs w:val="24"/>
        </w:rPr>
        <w:t>“</w:t>
      </w:r>
      <w:r>
        <w:rPr>
          <w:rFonts w:cs="Times New Roman" w:hint="eastAsia"/>
          <w:sz w:val="24"/>
          <w:szCs w:val="24"/>
        </w:rPr>
        <w:t>三无一全”</w:t>
      </w:r>
      <w:r>
        <w:rPr>
          <w:rFonts w:cs="Times New Roman" w:hint="eastAsia"/>
          <w:sz w:val="24"/>
          <w:szCs w:val="24"/>
        </w:rPr>
        <w:t>核定的项目，“工作组”</w:t>
      </w:r>
      <w:r>
        <w:rPr>
          <w:rFonts w:eastAsia="宋体" w:cs="Times New Roman" w:hint="eastAsia"/>
          <w:sz w:val="24"/>
          <w:szCs w:val="24"/>
        </w:rPr>
        <w:t>书面</w:t>
      </w:r>
      <w:r>
        <w:rPr>
          <w:rFonts w:cs="Times New Roman" w:hint="eastAsia"/>
          <w:sz w:val="24"/>
          <w:szCs w:val="24"/>
        </w:rPr>
        <w:t>明确告知申报主体未通过的具体</w:t>
      </w:r>
      <w:r>
        <w:rPr>
          <w:rFonts w:eastAsia="宋体" w:cs="Times New Roman" w:hint="eastAsia"/>
          <w:sz w:val="24"/>
          <w:szCs w:val="24"/>
        </w:rPr>
        <w:t>内容及理由</w:t>
      </w:r>
      <w:r>
        <w:rPr>
          <w:rFonts w:cs="Times New Roman" w:hint="eastAsia"/>
          <w:sz w:val="24"/>
          <w:szCs w:val="24"/>
        </w:rPr>
        <w:t>，指导申报主体完善改进后再次申报。</w:t>
      </w:r>
    </w:p>
    <w:p w14:paraId="552A7F90" w14:textId="77777777" w:rsidR="00E27C4E" w:rsidRDefault="0049753A">
      <w:pPr>
        <w:spacing w:line="520" w:lineRule="exact"/>
        <w:rPr>
          <w:rFonts w:cs="Times New Roman"/>
          <w:sz w:val="24"/>
          <w:szCs w:val="24"/>
        </w:rPr>
      </w:pPr>
      <w:r>
        <w:rPr>
          <w:rFonts w:cs="Times New Roman" w:hint="eastAsia"/>
          <w:b/>
          <w:sz w:val="24"/>
          <w:szCs w:val="24"/>
        </w:rPr>
        <w:t>第十四条</w:t>
      </w:r>
      <w:r>
        <w:rPr>
          <w:rFonts w:cs="Times New Roman" w:hint="eastAsia"/>
          <w:b/>
          <w:sz w:val="24"/>
          <w:szCs w:val="24"/>
        </w:rPr>
        <w:t xml:space="preserve"> </w:t>
      </w:r>
      <w:r>
        <w:rPr>
          <w:rFonts w:cs="Times New Roman"/>
          <w:b/>
          <w:sz w:val="24"/>
          <w:szCs w:val="24"/>
        </w:rPr>
        <w:t xml:space="preserve"> </w:t>
      </w:r>
      <w:r>
        <w:rPr>
          <w:rFonts w:cs="Times New Roman" w:hint="eastAsia"/>
          <w:sz w:val="24"/>
          <w:szCs w:val="24"/>
        </w:rPr>
        <w:t>“工作组”全年受理申报资料。核定工作每年开展一次，核定时间由联盟向社会发布，年度核查工作根据药材生产特点确定核查时间。</w:t>
      </w:r>
    </w:p>
    <w:p w14:paraId="5A6CA53B" w14:textId="77777777" w:rsidR="00E27C4E" w:rsidRDefault="00E27C4E">
      <w:pPr>
        <w:spacing w:line="520" w:lineRule="exact"/>
        <w:rPr>
          <w:rFonts w:cs="Times New Roman"/>
          <w:sz w:val="24"/>
          <w:szCs w:val="24"/>
        </w:rPr>
      </w:pPr>
    </w:p>
    <w:p w14:paraId="150BB42F"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信息发布</w:t>
      </w:r>
    </w:p>
    <w:p w14:paraId="7D0C2A30" w14:textId="77777777" w:rsidR="00E27C4E" w:rsidRDefault="0049753A">
      <w:pPr>
        <w:spacing w:line="520" w:lineRule="exact"/>
        <w:rPr>
          <w:rFonts w:cs="Times New Roman"/>
          <w:sz w:val="24"/>
          <w:szCs w:val="24"/>
        </w:rPr>
      </w:pPr>
      <w:r>
        <w:rPr>
          <w:rFonts w:cs="Times New Roman" w:hint="eastAsia"/>
          <w:b/>
          <w:sz w:val="24"/>
          <w:szCs w:val="24"/>
        </w:rPr>
        <w:t>第十五条</w:t>
      </w:r>
      <w:r>
        <w:rPr>
          <w:rFonts w:cs="Times New Roman" w:hint="eastAsia"/>
          <w:sz w:val="24"/>
          <w:szCs w:val="24"/>
        </w:rPr>
        <w:t xml:space="preserve">  </w:t>
      </w:r>
      <w:r>
        <w:rPr>
          <w:rFonts w:cs="Times New Roman" w:hint="eastAsia"/>
          <w:sz w:val="24"/>
          <w:szCs w:val="24"/>
        </w:rPr>
        <w:t>核定和年度核查结果向社会公布，接受社会监督。任何人或组织对公示结果有异议</w:t>
      </w:r>
      <w:r>
        <w:rPr>
          <w:rFonts w:cs="Times New Roman" w:hint="eastAsia"/>
          <w:sz w:val="24"/>
          <w:szCs w:val="24"/>
        </w:rPr>
        <w:t>的</w:t>
      </w:r>
      <w:r>
        <w:rPr>
          <w:rFonts w:cs="Times New Roman" w:hint="eastAsia"/>
          <w:sz w:val="24"/>
          <w:szCs w:val="24"/>
        </w:rPr>
        <w:t>，可在公示期内向联盟秘书处反映。</w:t>
      </w:r>
    </w:p>
    <w:p w14:paraId="56BB7FB4" w14:textId="77777777" w:rsidR="00E27C4E" w:rsidRDefault="0049753A">
      <w:pPr>
        <w:spacing w:line="520" w:lineRule="exact"/>
        <w:jc w:val="left"/>
        <w:rPr>
          <w:rFonts w:cs="Times New Roman"/>
          <w:sz w:val="24"/>
          <w:szCs w:val="24"/>
        </w:rPr>
      </w:pPr>
      <w:r>
        <w:rPr>
          <w:rFonts w:cs="Times New Roman" w:hint="eastAsia"/>
          <w:b/>
          <w:sz w:val="24"/>
          <w:szCs w:val="24"/>
        </w:rPr>
        <w:lastRenderedPageBreak/>
        <w:t>第十六条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凡通过公示无异议的申报主体，由联盟发文公告，并在当年的“中药材基地共建共享交流大会”上颁发证书，给予表彰。</w:t>
      </w:r>
    </w:p>
    <w:p w14:paraId="721EF76D" w14:textId="77777777" w:rsidR="00E27C4E" w:rsidRDefault="00E27C4E">
      <w:pPr>
        <w:spacing w:line="520" w:lineRule="exact"/>
        <w:jc w:val="left"/>
        <w:rPr>
          <w:rFonts w:cs="Times New Roman"/>
          <w:sz w:val="24"/>
          <w:szCs w:val="24"/>
        </w:rPr>
      </w:pPr>
    </w:p>
    <w:p w14:paraId="2907050A"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品牌管理</w:t>
      </w:r>
    </w:p>
    <w:p w14:paraId="0D590E9A" w14:textId="65CD3455" w:rsidR="00E27C4E" w:rsidRDefault="0049753A">
      <w:pPr>
        <w:spacing w:line="520" w:lineRule="exact"/>
        <w:rPr>
          <w:rFonts w:cs="Times New Roman"/>
          <w:sz w:val="24"/>
          <w:szCs w:val="24"/>
        </w:rPr>
      </w:pPr>
      <w:r>
        <w:rPr>
          <w:rFonts w:cs="Times New Roman" w:hint="eastAsia"/>
          <w:b/>
          <w:sz w:val="24"/>
          <w:szCs w:val="24"/>
        </w:rPr>
        <w:t>第十七条</w:t>
      </w:r>
      <w:r>
        <w:rPr>
          <w:rFonts w:cs="Times New Roman" w:hint="eastAsia"/>
          <w:sz w:val="24"/>
          <w:szCs w:val="24"/>
        </w:rPr>
        <w:t xml:space="preserve">  </w:t>
      </w:r>
      <w:bookmarkStart w:id="1" w:name="_Hlk69830022"/>
      <w:r>
        <w:rPr>
          <w:rFonts w:cs="Times New Roman" w:hint="eastAsia"/>
          <w:sz w:val="24"/>
          <w:szCs w:val="24"/>
        </w:rPr>
        <w:t>已取得</w:t>
      </w:r>
      <w:r>
        <w:rPr>
          <w:rFonts w:hint="eastAsia"/>
          <w:sz w:val="24"/>
          <w:szCs w:val="24"/>
        </w:rPr>
        <w:t>“</w:t>
      </w:r>
      <w:r>
        <w:rPr>
          <w:rFonts w:cs="Times New Roman" w:hint="eastAsia"/>
          <w:sz w:val="24"/>
          <w:szCs w:val="24"/>
        </w:rPr>
        <w:t>三无一全”</w:t>
      </w:r>
      <w:r>
        <w:rPr>
          <w:rFonts w:cs="Times New Roman" w:hint="eastAsia"/>
          <w:sz w:val="24"/>
          <w:szCs w:val="24"/>
        </w:rPr>
        <w:t>荣誉的申报主体，每年应向“工作组”提交年度工作报告，联盟组织专家委员会对年度工作报告进行核查，必要时组织专家现场核查。</w:t>
      </w:r>
    </w:p>
    <w:p w14:paraId="2C91E5BD" w14:textId="79D7E667" w:rsidR="00E27C4E" w:rsidRDefault="0049753A">
      <w:pPr>
        <w:spacing w:line="520" w:lineRule="exact"/>
        <w:rPr>
          <w:rFonts w:cs="Times New Roman"/>
          <w:sz w:val="24"/>
          <w:szCs w:val="24"/>
        </w:rPr>
      </w:pPr>
      <w:r>
        <w:rPr>
          <w:rFonts w:cs="Times New Roman" w:hint="eastAsia"/>
          <w:b/>
          <w:sz w:val="24"/>
          <w:szCs w:val="24"/>
        </w:rPr>
        <w:t>第十八条</w:t>
      </w:r>
      <w:r>
        <w:rPr>
          <w:rFonts w:cs="Times New Roman" w:hint="eastAsia"/>
          <w:sz w:val="24"/>
          <w:szCs w:val="24"/>
        </w:rPr>
        <w:t xml:space="preserve">  </w:t>
      </w:r>
      <w:r>
        <w:rPr>
          <w:rFonts w:cs="Times New Roman" w:hint="eastAsia"/>
          <w:sz w:val="24"/>
          <w:szCs w:val="24"/>
        </w:rPr>
        <w:t>未提交年度工作报告的、未通过年度核查的或有违反承诺情况遭投诉</w:t>
      </w:r>
      <w:r>
        <w:rPr>
          <w:rFonts w:cs="Times New Roman" w:hint="eastAsia"/>
          <w:sz w:val="24"/>
          <w:szCs w:val="24"/>
        </w:rPr>
        <w:t>并经核查属实的申报主体，联盟将按程序取消其</w:t>
      </w:r>
      <w:r>
        <w:rPr>
          <w:rFonts w:hint="eastAsia"/>
          <w:sz w:val="24"/>
          <w:szCs w:val="24"/>
        </w:rPr>
        <w:t>“</w:t>
      </w:r>
      <w:r>
        <w:rPr>
          <w:rFonts w:cs="Times New Roman" w:hint="eastAsia"/>
          <w:sz w:val="24"/>
          <w:szCs w:val="24"/>
        </w:rPr>
        <w:t>三无一全”称号。</w:t>
      </w:r>
    </w:p>
    <w:bookmarkEnd w:id="1"/>
    <w:p w14:paraId="74275B8C" w14:textId="77777777" w:rsidR="00E27C4E" w:rsidRDefault="00E27C4E">
      <w:pPr>
        <w:spacing w:line="520" w:lineRule="exact"/>
        <w:jc w:val="left"/>
        <w:rPr>
          <w:rFonts w:ascii="Times New Roman" w:eastAsia="宋体" w:hAnsi="Times New Roman" w:cs="Times New Roman"/>
          <w:color w:val="000000" w:themeColor="text1"/>
        </w:rPr>
      </w:pPr>
    </w:p>
    <w:p w14:paraId="24F00C89"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文件管理</w:t>
      </w:r>
    </w:p>
    <w:p w14:paraId="281DB538" w14:textId="77777777" w:rsidR="00E27C4E" w:rsidRDefault="0049753A">
      <w:pPr>
        <w:spacing w:line="520" w:lineRule="exact"/>
        <w:rPr>
          <w:rFonts w:cs="Times New Roman"/>
          <w:sz w:val="24"/>
          <w:szCs w:val="24"/>
        </w:rPr>
      </w:pPr>
      <w:r>
        <w:rPr>
          <w:rFonts w:cs="Times New Roman" w:hint="eastAsia"/>
          <w:b/>
          <w:sz w:val="24"/>
          <w:szCs w:val="24"/>
        </w:rPr>
        <w:t>第十九条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“工作组”建立完善的资料文件管理制度，对会</w:t>
      </w:r>
      <w:proofErr w:type="gramStart"/>
      <w:r>
        <w:rPr>
          <w:rFonts w:cs="Times New Roman" w:hint="eastAsia"/>
          <w:sz w:val="24"/>
          <w:szCs w:val="24"/>
        </w:rPr>
        <w:t>评核定过程</w:t>
      </w:r>
      <w:proofErr w:type="gramEnd"/>
      <w:r>
        <w:rPr>
          <w:rFonts w:cs="Times New Roman" w:hint="eastAsia"/>
          <w:sz w:val="24"/>
          <w:szCs w:val="24"/>
        </w:rPr>
        <w:t>进行全程记录，保留申报资料、相关会议纪要、专家初审、会</w:t>
      </w:r>
      <w:proofErr w:type="gramStart"/>
      <w:r>
        <w:rPr>
          <w:rFonts w:cs="Times New Roman" w:hint="eastAsia"/>
          <w:sz w:val="24"/>
          <w:szCs w:val="24"/>
        </w:rPr>
        <w:t>评核定</w:t>
      </w:r>
      <w:proofErr w:type="gramEnd"/>
      <w:r>
        <w:rPr>
          <w:rFonts w:cs="Times New Roman" w:hint="eastAsia"/>
          <w:sz w:val="24"/>
          <w:szCs w:val="24"/>
        </w:rPr>
        <w:t>及现场复审结果、过程图片等文件资料（包括电子版）。每年核定和核查工作结束后将全部资料转交联盟秘书处保管。</w:t>
      </w:r>
    </w:p>
    <w:p w14:paraId="16BDE9D5" w14:textId="77777777" w:rsidR="00E27C4E" w:rsidRDefault="00E27C4E">
      <w:pPr>
        <w:spacing w:line="520" w:lineRule="exact"/>
      </w:pPr>
    </w:p>
    <w:p w14:paraId="0EC0449B" w14:textId="77777777"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b/>
          <w:sz w:val="24"/>
          <w:szCs w:val="24"/>
        </w:rPr>
        <w:t>保密管理</w:t>
      </w:r>
    </w:p>
    <w:p w14:paraId="0114B8F1" w14:textId="77777777" w:rsidR="00E27C4E" w:rsidRDefault="0049753A">
      <w:pPr>
        <w:spacing w:line="520" w:lineRule="exact"/>
        <w:rPr>
          <w:rFonts w:cs="Times New Roman"/>
          <w:sz w:val="24"/>
          <w:szCs w:val="24"/>
        </w:rPr>
      </w:pPr>
      <w:r>
        <w:rPr>
          <w:rFonts w:cs="Times New Roman" w:hint="eastAsia"/>
          <w:b/>
          <w:sz w:val="24"/>
          <w:szCs w:val="24"/>
        </w:rPr>
        <w:t>第二十条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“工作组”、审核专家和联盟秘书处，对企业文件资料及信息负保密责任，必要时与企业、专家签订保密协议。</w:t>
      </w:r>
    </w:p>
    <w:p w14:paraId="1307A5BC" w14:textId="77777777" w:rsidR="00E27C4E" w:rsidRDefault="00E27C4E">
      <w:pPr>
        <w:spacing w:line="520" w:lineRule="exact"/>
        <w:rPr>
          <w:rFonts w:ascii="Times New Roman" w:eastAsia="宋体" w:hAnsi="Times New Roman" w:cs="Times New Roman"/>
          <w:color w:val="000000" w:themeColor="text1"/>
        </w:rPr>
      </w:pPr>
    </w:p>
    <w:p w14:paraId="276DC8E8" w14:textId="291ADA55" w:rsidR="00E27C4E" w:rsidRDefault="0049753A">
      <w:pPr>
        <w:numPr>
          <w:ilvl w:val="0"/>
          <w:numId w:val="1"/>
        </w:numPr>
        <w:spacing w:line="520" w:lineRule="exact"/>
        <w:ind w:left="402"/>
        <w:jc w:val="center"/>
        <w:rPr>
          <w:b/>
          <w:sz w:val="24"/>
          <w:szCs w:val="24"/>
        </w:rPr>
      </w:pPr>
      <w:r>
        <w:rPr>
          <w:rFonts w:hint="eastAsia"/>
          <w:b/>
          <w:sz w:val="24"/>
          <w:szCs w:val="24"/>
        </w:rPr>
        <w:t xml:space="preserve"> </w:t>
      </w:r>
      <w:r>
        <w:rPr>
          <w:rFonts w:hint="eastAsia"/>
          <w:sz w:val="24"/>
          <w:szCs w:val="24"/>
        </w:rPr>
        <w:t>“</w:t>
      </w:r>
      <w:r>
        <w:rPr>
          <w:rFonts w:hint="eastAsia"/>
          <w:b/>
          <w:sz w:val="24"/>
          <w:szCs w:val="24"/>
        </w:rPr>
        <w:t>三无一全”宣传与推荐</w:t>
      </w:r>
    </w:p>
    <w:p w14:paraId="39C146AF" w14:textId="7DA55930" w:rsidR="00E27C4E" w:rsidRDefault="0049753A">
      <w:pPr>
        <w:spacing w:line="520" w:lineRule="exact"/>
        <w:rPr>
          <w:rFonts w:cs="Times New Roman"/>
          <w:sz w:val="24"/>
          <w:szCs w:val="24"/>
        </w:rPr>
      </w:pPr>
      <w:r>
        <w:rPr>
          <w:rFonts w:cs="Times New Roman" w:hint="eastAsia"/>
          <w:b/>
          <w:sz w:val="24"/>
          <w:szCs w:val="24"/>
        </w:rPr>
        <w:t>第二十一条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联盟指定专门机构负责对取得</w:t>
      </w:r>
      <w:r>
        <w:rPr>
          <w:rFonts w:hint="eastAsia"/>
          <w:sz w:val="24"/>
          <w:szCs w:val="24"/>
        </w:rPr>
        <w:t>“</w:t>
      </w:r>
      <w:r>
        <w:rPr>
          <w:rFonts w:cs="Times New Roman" w:hint="eastAsia"/>
          <w:sz w:val="24"/>
          <w:szCs w:val="24"/>
        </w:rPr>
        <w:t>三无一全”</w:t>
      </w:r>
      <w:r>
        <w:rPr>
          <w:rFonts w:cs="Times New Roman" w:hint="eastAsia"/>
          <w:sz w:val="24"/>
          <w:szCs w:val="24"/>
        </w:rPr>
        <w:t>荣誉的主体进行宣传，允许获准主体举办相关宣传活动。</w:t>
      </w:r>
    </w:p>
    <w:p w14:paraId="46C173F7" w14:textId="0E803367" w:rsidR="00E27C4E" w:rsidRDefault="0049753A">
      <w:pPr>
        <w:spacing w:line="520" w:lineRule="exact"/>
        <w:rPr>
          <w:rFonts w:cs="Times New Roman"/>
          <w:sz w:val="24"/>
          <w:szCs w:val="24"/>
        </w:rPr>
      </w:pPr>
      <w:r>
        <w:rPr>
          <w:rFonts w:cs="Times New Roman" w:hint="eastAsia"/>
          <w:b/>
          <w:sz w:val="24"/>
          <w:szCs w:val="24"/>
        </w:rPr>
        <w:t>第二十二条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联盟支持取得</w:t>
      </w:r>
      <w:r>
        <w:rPr>
          <w:rFonts w:hint="eastAsia"/>
          <w:sz w:val="24"/>
          <w:szCs w:val="24"/>
        </w:rPr>
        <w:t>“</w:t>
      </w:r>
      <w:r>
        <w:rPr>
          <w:rFonts w:cs="Times New Roman" w:hint="eastAsia"/>
          <w:sz w:val="24"/>
          <w:szCs w:val="24"/>
        </w:rPr>
        <w:t>三无一全”</w:t>
      </w:r>
      <w:r>
        <w:rPr>
          <w:rFonts w:cs="Times New Roman" w:hint="eastAsia"/>
          <w:sz w:val="24"/>
          <w:szCs w:val="24"/>
        </w:rPr>
        <w:t>荣誉证书的主体，对其品牌药材按照各区域药材标准实施药材分级管理，促进优质优先、优质优价交易。</w:t>
      </w:r>
    </w:p>
    <w:p w14:paraId="068A985C" w14:textId="77777777" w:rsidR="00E27C4E" w:rsidRDefault="00E27C4E">
      <w:pPr>
        <w:spacing w:line="520" w:lineRule="exact"/>
        <w:rPr>
          <w:rFonts w:ascii="Times New Roman" w:eastAsia="宋体" w:hAnsi="Times New Roman" w:cs="Times New Roman"/>
          <w:color w:val="000000" w:themeColor="text1"/>
        </w:rPr>
      </w:pPr>
    </w:p>
    <w:p w14:paraId="0E03BBCB" w14:textId="77777777" w:rsidR="00E27C4E" w:rsidRDefault="0049753A">
      <w:pPr>
        <w:numPr>
          <w:ilvl w:val="0"/>
          <w:numId w:val="1"/>
        </w:numPr>
        <w:spacing w:line="520" w:lineRule="exact"/>
        <w:jc w:val="center"/>
        <w:rPr>
          <w:b/>
          <w:sz w:val="24"/>
          <w:szCs w:val="24"/>
        </w:rPr>
      </w:pPr>
      <w:r>
        <w:rPr>
          <w:rFonts w:hint="eastAsia"/>
          <w:b/>
          <w:sz w:val="24"/>
          <w:szCs w:val="24"/>
        </w:rPr>
        <w:t xml:space="preserve"> </w:t>
      </w:r>
      <w:r>
        <w:rPr>
          <w:rFonts w:hint="eastAsia"/>
          <w:b/>
          <w:sz w:val="24"/>
          <w:szCs w:val="24"/>
        </w:rPr>
        <w:t>经费管理</w:t>
      </w:r>
    </w:p>
    <w:p w14:paraId="40482154" w14:textId="6740A2A0" w:rsidR="00E27C4E" w:rsidRDefault="0049753A">
      <w:pPr>
        <w:spacing w:line="520" w:lineRule="exact"/>
        <w:rPr>
          <w:rFonts w:cs="Times New Roman"/>
          <w:sz w:val="24"/>
          <w:szCs w:val="24"/>
        </w:rPr>
      </w:pPr>
      <w:r>
        <w:rPr>
          <w:rFonts w:cs="Times New Roman" w:hint="eastAsia"/>
          <w:b/>
          <w:sz w:val="24"/>
          <w:szCs w:val="24"/>
        </w:rPr>
        <w:t>第二十三条</w:t>
      </w:r>
      <w:r>
        <w:rPr>
          <w:rFonts w:cs="Times New Roman" w:hint="eastAsia"/>
          <w:sz w:val="24"/>
          <w:szCs w:val="24"/>
        </w:rPr>
        <w:t xml:space="preserve"> </w:t>
      </w:r>
      <w:r>
        <w:rPr>
          <w:rFonts w:cs="Times New Roman"/>
          <w:sz w:val="24"/>
          <w:szCs w:val="24"/>
        </w:rPr>
        <w:t xml:space="preserve"> </w:t>
      </w:r>
      <w:r>
        <w:rPr>
          <w:rFonts w:cs="Times New Roman" w:hint="eastAsia"/>
          <w:sz w:val="24"/>
          <w:szCs w:val="24"/>
        </w:rPr>
        <w:t>为保障</w:t>
      </w:r>
      <w:r>
        <w:rPr>
          <w:rFonts w:hint="eastAsia"/>
          <w:sz w:val="24"/>
          <w:szCs w:val="24"/>
        </w:rPr>
        <w:t>“</w:t>
      </w:r>
      <w:r>
        <w:rPr>
          <w:rFonts w:cs="Times New Roman" w:hint="eastAsia"/>
          <w:sz w:val="24"/>
          <w:szCs w:val="24"/>
        </w:rPr>
        <w:t>三无一全”核定工作正常运行，根据成本支出情况收取评审费，按照单品收取一定费用（盟员单位有优惠），具体收费办法由联盟制定。</w:t>
      </w:r>
    </w:p>
    <w:p w14:paraId="78FFDABC" w14:textId="77777777" w:rsidR="009F08CD" w:rsidRDefault="009F08CD">
      <w:pPr>
        <w:spacing w:line="520" w:lineRule="exact"/>
        <w:rPr>
          <w:rFonts w:ascii="Times New Roman" w:eastAsia="宋体" w:hAnsi="Times New Roman" w:cs="Times New Roman" w:hint="eastAsia"/>
          <w:color w:val="000000" w:themeColor="text1"/>
        </w:rPr>
      </w:pPr>
    </w:p>
    <w:p w14:paraId="2A337167" w14:textId="77777777" w:rsidR="00E27C4E" w:rsidRDefault="0049753A">
      <w:pPr>
        <w:numPr>
          <w:ilvl w:val="0"/>
          <w:numId w:val="1"/>
        </w:numPr>
        <w:spacing w:line="520" w:lineRule="exact"/>
        <w:jc w:val="center"/>
        <w:rPr>
          <w:b/>
        </w:rPr>
      </w:pPr>
      <w:r>
        <w:rPr>
          <w:rFonts w:hint="eastAsia"/>
          <w:b/>
          <w:sz w:val="24"/>
          <w:szCs w:val="24"/>
        </w:rPr>
        <w:t xml:space="preserve"> </w:t>
      </w:r>
      <w:r>
        <w:rPr>
          <w:rFonts w:hint="eastAsia"/>
          <w:b/>
          <w:sz w:val="24"/>
          <w:szCs w:val="24"/>
        </w:rPr>
        <w:t>附</w:t>
      </w:r>
      <w:r>
        <w:rPr>
          <w:rFonts w:hint="eastAsia"/>
          <w:b/>
          <w:sz w:val="24"/>
          <w:szCs w:val="24"/>
        </w:rPr>
        <w:t xml:space="preserve">  </w:t>
      </w:r>
      <w:r>
        <w:rPr>
          <w:rFonts w:hint="eastAsia"/>
          <w:b/>
          <w:sz w:val="24"/>
          <w:szCs w:val="24"/>
        </w:rPr>
        <w:t>则</w:t>
      </w:r>
    </w:p>
    <w:p w14:paraId="129246C0" w14:textId="35ABB469" w:rsidR="00E27C4E" w:rsidRDefault="0049753A">
      <w:pPr>
        <w:spacing w:line="520" w:lineRule="exact"/>
        <w:rPr>
          <w:rFonts w:cs="Times New Roman"/>
          <w:sz w:val="24"/>
          <w:szCs w:val="24"/>
        </w:rPr>
      </w:pPr>
      <w:r>
        <w:rPr>
          <w:rFonts w:cs="Times New Roman" w:hint="eastAsia"/>
          <w:b/>
          <w:sz w:val="24"/>
          <w:szCs w:val="24"/>
        </w:rPr>
        <w:t>第二十四条</w:t>
      </w:r>
      <w:r>
        <w:rPr>
          <w:rFonts w:cs="Times New Roman" w:hint="eastAsia"/>
          <w:sz w:val="24"/>
          <w:szCs w:val="24"/>
        </w:rPr>
        <w:t xml:space="preserve">  </w:t>
      </w:r>
      <w:r>
        <w:rPr>
          <w:rFonts w:cs="Times New Roman" w:hint="eastAsia"/>
          <w:sz w:val="24"/>
          <w:szCs w:val="24"/>
        </w:rPr>
        <w:t>本办法经中药材基地共建共享联盟</w:t>
      </w:r>
      <w:r>
        <w:rPr>
          <w:rFonts w:cs="Times New Roman" w:hint="eastAsia"/>
          <w:sz w:val="24"/>
          <w:szCs w:val="24"/>
        </w:rPr>
        <w:t>审定通过，自公布之日生效。</w:t>
      </w:r>
    </w:p>
    <w:p w14:paraId="10B0EE6C" w14:textId="77777777" w:rsidR="00E27C4E" w:rsidRDefault="0049753A">
      <w:pPr>
        <w:spacing w:line="520" w:lineRule="exact"/>
        <w:rPr>
          <w:rFonts w:cs="Times New Roman"/>
          <w:sz w:val="24"/>
          <w:szCs w:val="24"/>
        </w:rPr>
      </w:pPr>
      <w:r>
        <w:rPr>
          <w:rFonts w:cs="Times New Roman" w:hint="eastAsia"/>
          <w:sz w:val="24"/>
          <w:szCs w:val="24"/>
        </w:rPr>
        <w:t xml:space="preserve">                       </w:t>
      </w:r>
    </w:p>
    <w:p w14:paraId="6EB76153" w14:textId="77777777" w:rsidR="00E27C4E" w:rsidRDefault="0049753A">
      <w:pPr>
        <w:spacing w:line="360" w:lineRule="auto"/>
        <w:ind w:firstLine="420"/>
      </w:pPr>
      <w:bookmarkStart w:id="2" w:name="_Hlk69895182"/>
      <w:r>
        <w:rPr>
          <w:rFonts w:hint="eastAsia"/>
        </w:rPr>
        <w:t>附件</w:t>
      </w:r>
      <w:r>
        <w:rPr>
          <w:rFonts w:hint="eastAsia"/>
        </w:rPr>
        <w:t>1</w:t>
      </w:r>
      <w:r>
        <w:t xml:space="preserve"> </w:t>
      </w:r>
      <w:bookmarkStart w:id="3" w:name="_Hlk69982900"/>
      <w:r>
        <w:rPr>
          <w:rFonts w:hint="eastAsia"/>
        </w:rPr>
        <w:t>优</w:t>
      </w:r>
      <w:r>
        <w:rPr>
          <w:rFonts w:hint="eastAsia"/>
        </w:rPr>
        <w:t>质</w:t>
      </w:r>
      <w:r>
        <w:rPr>
          <w:rFonts w:hint="eastAsia"/>
        </w:rPr>
        <w:t>药</w:t>
      </w:r>
      <w:r>
        <w:rPr>
          <w:rFonts w:hint="eastAsia"/>
        </w:rPr>
        <w:t>材</w:t>
      </w:r>
      <w:r>
        <w:rPr>
          <w:rFonts w:hint="eastAsia"/>
        </w:rPr>
        <w:t>“三无一全”品牌品种核定工作组</w:t>
      </w:r>
    </w:p>
    <w:p w14:paraId="0C1DA0EC" w14:textId="77777777" w:rsidR="00E27C4E" w:rsidRDefault="0049753A">
      <w:pPr>
        <w:spacing w:line="360" w:lineRule="auto"/>
        <w:ind w:firstLine="420"/>
      </w:pPr>
      <w:r>
        <w:rPr>
          <w:rFonts w:hint="eastAsia"/>
        </w:rPr>
        <w:t>附件</w:t>
      </w:r>
      <w:r>
        <w:rPr>
          <w:rFonts w:hint="eastAsia"/>
        </w:rPr>
        <w:t>2</w:t>
      </w:r>
      <w:r>
        <w:t xml:space="preserve"> </w:t>
      </w:r>
      <w:r>
        <w:rPr>
          <w:rFonts w:hint="eastAsia"/>
        </w:rPr>
        <w:t>优</w:t>
      </w:r>
      <w:r>
        <w:rPr>
          <w:rFonts w:hint="eastAsia"/>
        </w:rPr>
        <w:t>质</w:t>
      </w:r>
      <w:r>
        <w:rPr>
          <w:rFonts w:hint="eastAsia"/>
        </w:rPr>
        <w:t>药</w:t>
      </w:r>
      <w:r>
        <w:rPr>
          <w:rFonts w:hint="eastAsia"/>
        </w:rPr>
        <w:t>材</w:t>
      </w:r>
      <w:r>
        <w:rPr>
          <w:rFonts w:hint="eastAsia"/>
        </w:rPr>
        <w:t>“三无一全”品牌品种核定专家委员会</w:t>
      </w:r>
    </w:p>
    <w:bookmarkEnd w:id="3"/>
    <w:p w14:paraId="67B32345" w14:textId="77777777" w:rsidR="00E27C4E" w:rsidRDefault="0049753A">
      <w:pPr>
        <w:spacing w:line="360" w:lineRule="auto"/>
        <w:ind w:firstLine="420"/>
      </w:pPr>
      <w:r>
        <w:rPr>
          <w:rFonts w:hint="eastAsia"/>
        </w:rPr>
        <w:t>附件</w:t>
      </w:r>
      <w:r>
        <w:t>3</w:t>
      </w:r>
      <w:r>
        <w:rPr>
          <w:rFonts w:hint="eastAsia"/>
        </w:rPr>
        <w:t xml:space="preserve"> </w:t>
      </w:r>
      <w:r>
        <w:rPr>
          <w:rFonts w:hint="eastAsia"/>
        </w:rPr>
        <w:t>优</w:t>
      </w:r>
      <w:r>
        <w:rPr>
          <w:rFonts w:hint="eastAsia"/>
        </w:rPr>
        <w:t>质</w:t>
      </w:r>
      <w:r>
        <w:rPr>
          <w:rFonts w:hint="eastAsia"/>
        </w:rPr>
        <w:t>药</w:t>
      </w:r>
      <w:r>
        <w:rPr>
          <w:rFonts w:hint="eastAsia"/>
        </w:rPr>
        <w:t>材</w:t>
      </w:r>
      <w:r>
        <w:rPr>
          <w:rFonts w:hint="eastAsia"/>
        </w:rPr>
        <w:t>“三无一全”品牌品种建设承诺书</w:t>
      </w:r>
    </w:p>
    <w:p w14:paraId="5E5D0E58" w14:textId="77777777" w:rsidR="00E27C4E" w:rsidRDefault="0049753A">
      <w:pPr>
        <w:spacing w:line="360" w:lineRule="auto"/>
        <w:ind w:firstLine="420"/>
      </w:pPr>
      <w:r>
        <w:rPr>
          <w:rFonts w:hint="eastAsia"/>
        </w:rPr>
        <w:t>附件</w:t>
      </w:r>
      <w:r>
        <w:t>4</w:t>
      </w:r>
      <w:r>
        <w:rPr>
          <w:rFonts w:hint="eastAsia"/>
        </w:rPr>
        <w:t xml:space="preserve"> </w:t>
      </w:r>
      <w:r>
        <w:rPr>
          <w:rFonts w:hint="eastAsia"/>
        </w:rPr>
        <w:t>优</w:t>
      </w:r>
      <w:r>
        <w:rPr>
          <w:rFonts w:hint="eastAsia"/>
        </w:rPr>
        <w:t>质</w:t>
      </w:r>
      <w:r>
        <w:rPr>
          <w:rFonts w:hint="eastAsia"/>
        </w:rPr>
        <w:t>药</w:t>
      </w:r>
      <w:r>
        <w:rPr>
          <w:rFonts w:hint="eastAsia"/>
        </w:rPr>
        <w:t>材</w:t>
      </w:r>
      <w:r>
        <w:rPr>
          <w:rFonts w:hint="eastAsia"/>
        </w:rPr>
        <w:t>“三无一全”品牌品种建设专家推荐书</w:t>
      </w:r>
    </w:p>
    <w:p w14:paraId="32FC1E9C" w14:textId="77777777" w:rsidR="00E27C4E" w:rsidRDefault="0049753A">
      <w:pPr>
        <w:spacing w:line="360" w:lineRule="auto"/>
        <w:ind w:firstLine="420"/>
      </w:pPr>
      <w:r>
        <w:rPr>
          <w:rFonts w:hint="eastAsia"/>
        </w:rPr>
        <w:t>附件</w:t>
      </w:r>
      <w:r>
        <w:t>5</w:t>
      </w:r>
      <w:r>
        <w:rPr>
          <w:rFonts w:hint="eastAsia"/>
        </w:rPr>
        <w:t xml:space="preserve"> </w:t>
      </w:r>
      <w:r>
        <w:rPr>
          <w:rFonts w:hint="eastAsia"/>
        </w:rPr>
        <w:t>优</w:t>
      </w:r>
      <w:r>
        <w:rPr>
          <w:rFonts w:hint="eastAsia"/>
        </w:rPr>
        <w:t>质</w:t>
      </w:r>
      <w:r>
        <w:rPr>
          <w:rFonts w:hint="eastAsia"/>
        </w:rPr>
        <w:t>药</w:t>
      </w:r>
      <w:r>
        <w:rPr>
          <w:rFonts w:hint="eastAsia"/>
        </w:rPr>
        <w:t>材</w:t>
      </w:r>
      <w:r>
        <w:rPr>
          <w:rFonts w:hint="eastAsia"/>
        </w:rPr>
        <w:t>“三无一全”品牌品种建设年度情况报（首次申报无需填写）</w:t>
      </w:r>
    </w:p>
    <w:p w14:paraId="0D2F1BF2" w14:textId="77777777" w:rsidR="00E27C4E" w:rsidRDefault="0049753A">
      <w:pPr>
        <w:spacing w:line="360" w:lineRule="auto"/>
        <w:ind w:firstLine="420"/>
      </w:pPr>
      <w:r>
        <w:rPr>
          <w:rFonts w:hint="eastAsia"/>
        </w:rPr>
        <w:t>附件</w:t>
      </w:r>
      <w:r>
        <w:t>6</w:t>
      </w:r>
      <w:r>
        <w:rPr>
          <w:rFonts w:hint="eastAsia"/>
        </w:rPr>
        <w:t xml:space="preserve"> </w:t>
      </w:r>
      <w:r>
        <w:rPr>
          <w:rFonts w:hint="eastAsia"/>
        </w:rPr>
        <w:t>优</w:t>
      </w:r>
      <w:r>
        <w:rPr>
          <w:rFonts w:hint="eastAsia"/>
        </w:rPr>
        <w:t>质</w:t>
      </w:r>
      <w:r>
        <w:rPr>
          <w:rFonts w:hint="eastAsia"/>
        </w:rPr>
        <w:t>药</w:t>
      </w:r>
      <w:r>
        <w:rPr>
          <w:rFonts w:hint="eastAsia"/>
        </w:rPr>
        <w:t>材</w:t>
      </w:r>
      <w:r>
        <w:rPr>
          <w:rFonts w:hint="eastAsia"/>
        </w:rPr>
        <w:t>“三无一全”品牌品种建设专家评分表</w:t>
      </w:r>
    </w:p>
    <w:bookmarkEnd w:id="2"/>
    <w:p w14:paraId="634FBB26" w14:textId="77777777" w:rsidR="00E27C4E" w:rsidRDefault="00E27C4E">
      <w:pPr>
        <w:spacing w:line="360" w:lineRule="auto"/>
        <w:rPr>
          <w:b/>
          <w:sz w:val="24"/>
          <w:szCs w:val="24"/>
        </w:rPr>
      </w:pPr>
    </w:p>
    <w:sectPr w:rsidR="00E27C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B8A1" w14:textId="77777777" w:rsidR="0049753A" w:rsidRDefault="0049753A">
      <w:r>
        <w:separator/>
      </w:r>
    </w:p>
  </w:endnote>
  <w:endnote w:type="continuationSeparator" w:id="0">
    <w:p w14:paraId="56C26BC7" w14:textId="77777777" w:rsidR="0049753A" w:rsidRDefault="004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AF2A" w14:textId="77777777" w:rsidR="00E27C4E" w:rsidRDefault="00E27C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0960" w14:textId="77777777" w:rsidR="00E27C4E" w:rsidRDefault="0049753A">
    <w:pPr>
      <w:pStyle w:val="a7"/>
    </w:pPr>
    <w:r>
      <w:rPr>
        <w:sz w:val="20"/>
      </w:rPr>
      <w:pict w14:anchorId="726B5F4D">
        <v:shapetype id="_x0000_t202" coordsize="21600,21600" o:spt="202" path="m,l,21600r21600,l21600,xe">
          <v:stroke joinstyle="miter"/>
          <v:path gradientshapeok="t" o:connecttype="rect"/>
        </v:shapetype>
        <v:shape id="_x0000_s2049" type="#_x0000_t202" style="position:absolute;margin-left:0;margin-top:0;width:4.5pt;height:10.9pt;z-index:251659264;mso-wrap-style:none;mso-position-horizontal:center;mso-position-horizontal-relative:margin;mso-width-relative:page;mso-height-relative:page" o:preferrelative="t" filled="f" stroked="f">
          <v:textbox style="mso-fit-shape-to-text:t" inset="0,0,0,0">
            <w:txbxContent>
              <w:p w14:paraId="1C33F187" w14:textId="77777777" w:rsidR="00E27C4E" w:rsidRDefault="0049753A">
                <w:pPr>
                  <w:pStyle w:val="a7"/>
                </w:pPr>
                <w:r>
                  <w:rPr>
                    <w:rFonts w:hint="eastAsia"/>
                  </w:rPr>
                  <w:fldChar w:fldCharType="begin"/>
                </w:r>
                <w:r>
                  <w:rPr>
                    <w:rFonts w:hint="eastAsia"/>
                  </w:rPr>
                  <w:instrText>PAGE  \* MERGEFORMAT</w:instrText>
                </w:r>
                <w:r>
                  <w:rPr>
                    <w:rFonts w:hint="eastAsia"/>
                  </w:rPr>
                  <w:fldChar w:fldCharType="separate"/>
                </w:r>
                <w:r>
                  <w:t>4</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2711" w14:textId="77777777" w:rsidR="00E27C4E" w:rsidRDefault="00E27C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C30D" w14:textId="77777777" w:rsidR="0049753A" w:rsidRDefault="0049753A">
      <w:r>
        <w:separator/>
      </w:r>
    </w:p>
  </w:footnote>
  <w:footnote w:type="continuationSeparator" w:id="0">
    <w:p w14:paraId="4FF65EFB" w14:textId="77777777" w:rsidR="0049753A" w:rsidRDefault="0049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C432" w14:textId="77777777" w:rsidR="00E27C4E" w:rsidRDefault="00E27C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91B7" w14:textId="77777777" w:rsidR="00E27C4E" w:rsidRDefault="00E27C4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3109" w14:textId="77777777" w:rsidR="00E27C4E" w:rsidRDefault="00E27C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1"/>
    <w:multiLevelType w:val="multilevel"/>
    <w:tmpl w:val="2F000001"/>
    <w:lvl w:ilvl="0">
      <w:start w:val="1"/>
      <w:numFmt w:val="chineseCounting"/>
      <w:suff w:val="space"/>
      <w:lvlText w:val="第%1章"/>
      <w:lvlJc w:val="left"/>
      <w:rPr>
        <w:rFonts w:hint="eastAsia"/>
        <w:sz w:val="24"/>
        <w:szCs w:val="24"/>
      </w:rPr>
    </w:lvl>
    <w:lvl w:ilvl="1">
      <w:start w:val="1"/>
      <w:numFmt w:val="chineseCounting"/>
      <w:suff w:val="space"/>
      <w:lvlText w:val="第%1章"/>
      <w:lvlJc w:val="left"/>
      <w:rPr>
        <w:rFonts w:hint="eastAsia"/>
      </w:rPr>
    </w:lvl>
    <w:lvl w:ilvl="2">
      <w:start w:val="1"/>
      <w:numFmt w:val="chineseCounting"/>
      <w:suff w:val="space"/>
      <w:lvlText w:val="第%1章"/>
      <w:lvlJc w:val="left"/>
      <w:rPr>
        <w:rFonts w:hint="eastAsia"/>
      </w:rPr>
    </w:lvl>
    <w:lvl w:ilvl="3">
      <w:start w:val="1"/>
      <w:numFmt w:val="chineseCounting"/>
      <w:suff w:val="space"/>
      <w:lvlText w:val="第%1章"/>
      <w:lvlJc w:val="left"/>
      <w:rPr>
        <w:rFonts w:hint="eastAsia"/>
      </w:rPr>
    </w:lvl>
    <w:lvl w:ilvl="4">
      <w:start w:val="1"/>
      <w:numFmt w:val="chineseCounting"/>
      <w:suff w:val="space"/>
      <w:lvlText w:val="第%1章"/>
      <w:lvlJc w:val="left"/>
      <w:rPr>
        <w:rFonts w:hint="eastAsia"/>
      </w:rPr>
    </w:lvl>
    <w:lvl w:ilvl="5">
      <w:start w:val="1"/>
      <w:numFmt w:val="chineseCounting"/>
      <w:suff w:val="space"/>
      <w:lvlText w:val="第%1章"/>
      <w:lvlJc w:val="left"/>
      <w:rPr>
        <w:rFonts w:hint="eastAsia"/>
      </w:rPr>
    </w:lvl>
    <w:lvl w:ilvl="6">
      <w:start w:val="1"/>
      <w:numFmt w:val="chineseCounting"/>
      <w:suff w:val="space"/>
      <w:lvlText w:val="第%1章"/>
      <w:lvlJc w:val="left"/>
      <w:rPr>
        <w:rFonts w:hint="eastAsia"/>
      </w:rPr>
    </w:lvl>
    <w:lvl w:ilvl="7">
      <w:start w:val="1"/>
      <w:numFmt w:val="chineseCounting"/>
      <w:suff w:val="space"/>
      <w:lvlText w:val="第%1章"/>
      <w:lvlJc w:val="left"/>
      <w:rPr>
        <w:rFonts w:hint="eastAsia"/>
      </w:rPr>
    </w:lvl>
    <w:lvl w:ilvl="8">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626A1C"/>
    <w:rsid w:val="00016C1F"/>
    <w:rsid w:val="00032F6C"/>
    <w:rsid w:val="0004589C"/>
    <w:rsid w:val="00072613"/>
    <w:rsid w:val="00074945"/>
    <w:rsid w:val="000E27B8"/>
    <w:rsid w:val="000E2E9F"/>
    <w:rsid w:val="0016003E"/>
    <w:rsid w:val="001C2180"/>
    <w:rsid w:val="001C51D4"/>
    <w:rsid w:val="00227C7A"/>
    <w:rsid w:val="002516BA"/>
    <w:rsid w:val="00295899"/>
    <w:rsid w:val="002B2A99"/>
    <w:rsid w:val="00320E89"/>
    <w:rsid w:val="0036596A"/>
    <w:rsid w:val="003B14B7"/>
    <w:rsid w:val="003E0B45"/>
    <w:rsid w:val="00421814"/>
    <w:rsid w:val="0049753A"/>
    <w:rsid w:val="004B44FE"/>
    <w:rsid w:val="004C2413"/>
    <w:rsid w:val="00510E45"/>
    <w:rsid w:val="005319F2"/>
    <w:rsid w:val="00626A1C"/>
    <w:rsid w:val="00627665"/>
    <w:rsid w:val="00670C65"/>
    <w:rsid w:val="006C4C11"/>
    <w:rsid w:val="00713FBA"/>
    <w:rsid w:val="0074031F"/>
    <w:rsid w:val="0078260E"/>
    <w:rsid w:val="00846BD0"/>
    <w:rsid w:val="0088326E"/>
    <w:rsid w:val="008E4208"/>
    <w:rsid w:val="00927341"/>
    <w:rsid w:val="00951DCE"/>
    <w:rsid w:val="00961C2D"/>
    <w:rsid w:val="009C4875"/>
    <w:rsid w:val="009D7217"/>
    <w:rsid w:val="009F08CD"/>
    <w:rsid w:val="009F37B5"/>
    <w:rsid w:val="00A13974"/>
    <w:rsid w:val="00A13EC3"/>
    <w:rsid w:val="00AB7226"/>
    <w:rsid w:val="00AC43DC"/>
    <w:rsid w:val="00B029D0"/>
    <w:rsid w:val="00B43669"/>
    <w:rsid w:val="00B438F8"/>
    <w:rsid w:val="00B50897"/>
    <w:rsid w:val="00B82416"/>
    <w:rsid w:val="00B83051"/>
    <w:rsid w:val="00BD5773"/>
    <w:rsid w:val="00BE40D4"/>
    <w:rsid w:val="00C11711"/>
    <w:rsid w:val="00C21B5E"/>
    <w:rsid w:val="00C677AD"/>
    <w:rsid w:val="00CF1948"/>
    <w:rsid w:val="00CF5812"/>
    <w:rsid w:val="00D01140"/>
    <w:rsid w:val="00D53105"/>
    <w:rsid w:val="00D54AE7"/>
    <w:rsid w:val="00D70C56"/>
    <w:rsid w:val="00DA3DE6"/>
    <w:rsid w:val="00E20696"/>
    <w:rsid w:val="00E216A5"/>
    <w:rsid w:val="00E27C4E"/>
    <w:rsid w:val="00E544E7"/>
    <w:rsid w:val="00EA4198"/>
    <w:rsid w:val="00EE586F"/>
    <w:rsid w:val="00F1783A"/>
    <w:rsid w:val="00FB2552"/>
    <w:rsid w:val="00FD0606"/>
    <w:rsid w:val="00FD654F"/>
    <w:rsid w:val="00FD6DCC"/>
    <w:rsid w:val="097030D5"/>
    <w:rsid w:val="2F743D5B"/>
    <w:rsid w:val="4E32368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025CB0"/>
  <w15:docId w15:val="{92EDFCB1-33C1-4A0B-841D-C7CA0F8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heme="minorHAnsi" w:eastAsiaTheme="minorEastAsia" w:hAnsiTheme="minorHAnsi"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tabs>
        <w:tab w:val="center" w:pos="4153"/>
        <w:tab w:val="right" w:pos="8306"/>
      </w:tabs>
      <w:snapToGrid w:val="0"/>
    </w:pPr>
    <w:rPr>
      <w:sz w:val="18"/>
      <w:szCs w:val="18"/>
    </w:rPr>
  </w:style>
  <w:style w:type="paragraph" w:styleId="a9">
    <w:name w:val="Normal (Web)"/>
    <w:basedOn w:val="a"/>
    <w:qFormat/>
    <w:pPr>
      <w:spacing w:beforeAutospacing="1" w:afterAutospacing="1"/>
      <w:jc w:val="left"/>
    </w:pPr>
    <w:rPr>
      <w:rFonts w:cs="Times New Roman"/>
      <w:sz w:val="24"/>
      <w:szCs w:val="24"/>
    </w:rPr>
  </w:style>
  <w:style w:type="paragraph" w:styleId="aa">
    <w:name w:val="annotation subject"/>
    <w:basedOn w:val="a3"/>
    <w:next w:val="a3"/>
    <w:link w:val="ab"/>
    <w:uiPriority w:val="99"/>
    <w:semiHidden/>
    <w:unhideWhenUsed/>
    <w:qFormat/>
    <w:rPr>
      <w:b/>
      <w:bCs/>
    </w:rPr>
  </w:style>
  <w:style w:type="character" w:styleId="ac">
    <w:name w:val="annotation reference"/>
    <w:basedOn w:val="a0"/>
    <w:uiPriority w:val="99"/>
    <w:semiHidden/>
    <w:unhideWhenUsed/>
    <w:qFormat/>
    <w:rPr>
      <w:sz w:val="21"/>
      <w:szCs w:val="21"/>
    </w:rPr>
  </w:style>
  <w:style w:type="paragraph" w:styleId="ad">
    <w:name w:val="List Paragraph"/>
    <w:basedOn w:val="a"/>
    <w:uiPriority w:val="26"/>
    <w:unhideWhenUsed/>
    <w:qFormat/>
    <w:pPr>
      <w:ind w:firstLine="420"/>
    </w:p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Times New Roman" w:hAnsi="Times New Roman" w:cs="Times New Roman" w:hint="default"/>
      <w:color w:val="000000"/>
      <w:sz w:val="22"/>
      <w:szCs w:val="22"/>
      <w:u w:val="none"/>
    </w:rPr>
  </w:style>
  <w:style w:type="character" w:customStyle="1" w:styleId="a6">
    <w:name w:val="批注框文本 字符"/>
    <w:basedOn w:val="a0"/>
    <w:link w:val="a5"/>
    <w:uiPriority w:val="99"/>
    <w:semiHidden/>
    <w:qFormat/>
    <w:rPr>
      <w:rFonts w:asciiTheme="minorHAnsi" w:eastAsiaTheme="minorEastAsia" w:hAnsiTheme="minorHAnsi" w:cstheme="minorBidi"/>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sz w:val="21"/>
      <w:szCs w:val="21"/>
    </w:rPr>
  </w:style>
  <w:style w:type="character" w:customStyle="1" w:styleId="ab">
    <w:name w:val="批注主题 字符"/>
    <w:basedOn w:val="a4"/>
    <w:link w:val="aa"/>
    <w:uiPriority w:val="99"/>
    <w:semiHidden/>
    <w:qFormat/>
    <w:rPr>
      <w:rFonts w:asciiTheme="minorHAnsi" w:eastAsiaTheme="minorEastAsia" w:hAnsiTheme="minorHAnsi" w:cstheme="minorBidi"/>
      <w:b/>
      <w:bCs/>
      <w:sz w:val="21"/>
      <w:szCs w:val="21"/>
    </w:rPr>
  </w:style>
  <w:style w:type="paragraph" w:customStyle="1" w:styleId="1">
    <w:name w:val="修订1"/>
    <w:hidden/>
    <w:uiPriority w:val="99"/>
    <w:semiHidden/>
    <w:qFormat/>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F2AA827-39BE-405A-8DAB-DAE9EDD8C6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meimei</cp:lastModifiedBy>
  <cp:revision>40</cp:revision>
  <dcterms:created xsi:type="dcterms:W3CDTF">2021-04-06T00:43:00Z</dcterms:created>
  <dcterms:modified xsi:type="dcterms:W3CDTF">2021-05-06T02:44:00Z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BC3B80894B5C43C9AFCCC63903C1F100</vt:lpwstr>
  </property>
</Properties>
</file>